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19c43c9106c5db55b651cea0e0920caf490ea99"/>
    <w:p>
      <w:pPr>
        <w:pStyle w:val="Heading1"/>
      </w:pPr>
      <w:r>
        <w:t xml:space="preserve">Everest Group (EG) — Q2 2026 Earnings Preview</w:t>
      </w:r>
    </w:p>
    <w:p>
      <w:pPr>
        <w:pStyle w:val="FirstParagraph"/>
      </w:pPr>
      <w:r>
        <w:rPr>
          <w:b/>
          <w:bCs/>
        </w:rPr>
        <w:t xml:space="preserve">Reports: Wednesday, July 29, 2026, after market close | Call: July 30, 8:00 a.m. ET</w:t>
      </w:r>
    </w:p>
    <w:p>
      <w:r>
        <w:pict>
          <v:rect style="width:0;height:1.5pt" o:hralign="center" o:hrstd="t" o:hr="t"/>
        </w:pict>
      </w:r>
    </w:p>
    <w:bookmarkStart w:id="9" w:name="setup"/>
    <w:p>
      <w:pPr>
        <w:pStyle w:val="Heading2"/>
      </w:pPr>
      <w:r>
        <w:t xml:space="preserve">Setup</w:t>
      </w:r>
    </w:p>
    <w:p>
      <w:pPr>
        <w:pStyle w:val="FirstParagraph"/>
      </w:pPr>
      <w:r>
        <w:t xml:space="preserve">Everest heads into Thursday's print riding a strong run: the stock has climbed from roughly $344 right before Q1 results in late April to nearly $399 as of July 28, a ~16% gain over the quarter, well ahead of a soft cat-loss backdrop across the reinsurance sector. Expectations have crept higher into the print, and this quarter carries several idiosyncratic swing factors beyond the usual cat-loss and pricing dynamics.</w:t>
      </w:r>
    </w:p>
    <w:bookmarkEnd w:id="9"/>
    <w:bookmarkStart w:id="10" w:name="what-wall-street-is-modeling"/>
    <w:p>
      <w:pPr>
        <w:pStyle w:val="Heading2"/>
      </w:pPr>
      <w:r>
        <w:t xml:space="preserve">What Wall Street Is Modeling</w:t>
      </w:r>
    </w:p>
    <w:p>
      <w:pPr>
        <w:pStyle w:val="FirstParagraph"/>
      </w:pPr>
      <w:r>
        <w:t xml:space="preserve">Sell-side estimates have been trimmed modestly over the past two months but still call for a solid, if lower, year-over-year result:</w:t>
      </w:r>
    </w:p>
    <w:p>
      <w:pPr>
        <w:pStyle w:val="Compact"/>
        <w:numPr>
          <w:ilvl w:val="0"/>
          <w:numId w:val="1001"/>
        </w:numPr>
      </w:pPr>
      <w:r>
        <w:rPr>
          <w:b/>
          <w:bCs/>
        </w:rPr>
        <w:t xml:space="preserve">EPS:</w:t>
      </w:r>
      <w:r>
        <w:t xml:space="preserve"> </w:t>
      </w:r>
      <w:r>
        <w:t xml:space="preserve">consensus clustered around</w:t>
      </w:r>
      <w:r>
        <w:t xml:space="preserve"> </w:t>
      </w:r>
      <m:oMath>
        <m:r>
          <m:t>14.5</m:t>
        </m:r>
        <m:r>
          <m:rPr>
            <m:sty m:val="p"/>
          </m:rPr>
          <m:t>–</m:t>
        </m:r>
      </m:oMath>
      <w:r>
        <w:rPr>
          <w:b/>
          <w:bCs/>
        </w:rPr>
        <w:t xml:space="preserve">14.7</w:t>
      </w:r>
      <w:r>
        <w:t xml:space="preserve"> </w:t>
      </w:r>
      <w:r>
        <w:t xml:space="preserve">(compares with</w:t>
      </w:r>
      <w:r>
        <w:t xml:space="preserve"> </w:t>
      </w:r>
      <m:oMath>
        <m:r>
          <m:t>17.36</m:t>
        </m:r>
        <m:r>
          <m:rPr>
            <m:sty m:val="p"/>
          </m:rPr>
          <m:t>–</m:t>
        </m:r>
      </m:oMath>
      <w:r>
        <w:t xml:space="preserve">17.20 in Q2 2025), reflecting normalizing underwriting margins and softer property-cat pricing rather than a deterioration in the franchise.</w:t>
      </w:r>
    </w:p>
    <w:p>
      <w:pPr>
        <w:pStyle w:val="Compact"/>
        <w:numPr>
          <w:ilvl w:val="0"/>
          <w:numId w:val="1001"/>
        </w:numPr>
      </w:pPr>
      <w:r>
        <w:rPr>
          <w:b/>
          <w:bCs/>
        </w:rPr>
        <w:t xml:space="preserve">Revenue:</w:t>
      </w:r>
      <w:r>
        <w:t xml:space="preserve"> </w:t>
      </w:r>
      <w:r>
        <w:t xml:space="preserve">roughly</w:t>
      </w:r>
      <w:r>
        <w:t xml:space="preserve"> </w:t>
      </w:r>
      <w:r>
        <w:rPr>
          <w:b/>
          <w:bCs/>
        </w:rPr>
        <w:t xml:space="preserve">$4.0 billion</w:t>
      </w:r>
      <w:r>
        <w:t xml:space="preserve">, down high-single-digits year over year, consistent with management's deliberate premium shrinkage.</w:t>
      </w:r>
    </w:p>
    <w:p>
      <w:pPr>
        <w:pStyle w:val="Compact"/>
        <w:numPr>
          <w:ilvl w:val="0"/>
          <w:numId w:val="1001"/>
        </w:numPr>
      </w:pPr>
      <w:r>
        <w:rPr>
          <w:b/>
          <w:bCs/>
        </w:rPr>
        <w:t xml:space="preserve">Combined ratio:</w:t>
      </w:r>
      <w:r>
        <w:t xml:space="preserve"> </w:t>
      </w:r>
      <w:r>
        <w:t xml:space="preserve">consensus near</w:t>
      </w:r>
      <w:r>
        <w:t xml:space="preserve"> </w:t>
      </w:r>
      <w:r>
        <w:rPr>
          <w:b/>
          <w:bCs/>
        </w:rPr>
        <w:t xml:space="preserve">93–94%</w:t>
      </w:r>
      <w:r>
        <w:t xml:space="preserve">, and net investment income expected around</w:t>
      </w:r>
      <w:r>
        <w:t xml:space="preserve"> </w:t>
      </w:r>
      <w:r>
        <w:rPr>
          <w:b/>
          <w:bCs/>
        </w:rPr>
        <w:t xml:space="preserve">$560 million</w:t>
      </w:r>
      <w:r>
        <w:t xml:space="preserve">, continuing to benefit from alternative-asset returns and portfolio growth.</w:t>
      </w:r>
    </w:p>
    <w:bookmarkEnd w:id="10"/>
    <w:bookmarkStart w:id="11" w:name="X30b074dd9827d6cce84903276a98a05dc58083e"/>
    <w:p>
      <w:pPr>
        <w:pStyle w:val="Heading2"/>
      </w:pPr>
      <w:r>
        <w:t xml:space="preserve">The Q1 Setup: A Cleaner, More Focused Everest</w:t>
      </w:r>
    </w:p>
    <w:p>
      <w:pPr>
        <w:pStyle w:val="FirstParagraph"/>
      </w:pPr>
      <w:r>
        <w:t xml:space="preserve">Q2 is only the second quarter reported under Everest's new segment architecture (Reinsurance Treaty, Global Wholesale &amp; Specialty, Legacy), and Q1 set a high bar. Everest posted</w:t>
      </w:r>
      <w:r>
        <w:t xml:space="preserve"> </w:t>
      </w:r>
      <w:r>
        <w:rPr>
          <w:b/>
          <w:bCs/>
        </w:rPr>
        <w:t xml:space="preserve">$648 million of net operating income, a 16.7% operating ROE, and a 91.2% group combined ratio</w:t>
      </w:r>
      <w:r>
        <w:t xml:space="preserve">, with Reinsurance Treaty delivering an excellent</w:t>
      </w:r>
      <w:r>
        <w:t xml:space="preserve"> </w:t>
      </w:r>
      <w:r>
        <w:rPr>
          <w:b/>
          <w:bCs/>
        </w:rPr>
        <w:t xml:space="preserve">87.2% combined ratio</w:t>
      </w:r>
      <w:r>
        <w:t xml:space="preserve"> </w:t>
      </w:r>
      <w:r>
        <w:t xml:space="preserve">and Global Wholesale &amp; Specialty printing</w:t>
      </w:r>
      <w:r>
        <w:t xml:space="preserve"> </w:t>
      </w:r>
      <w:r>
        <w:rPr>
          <w:b/>
          <w:bCs/>
        </w:rPr>
        <w:t xml:space="preserve">96.8%</w:t>
      </w:r>
      <w:r>
        <w:t xml:space="preserve"> </w:t>
      </w:r>
      <w:r>
        <w:t xml:space="preserve">in its first quarter as a standalone reporting unit. Management raised the quarterly share-repurchase floor from</w:t>
      </w:r>
      <w:r>
        <w:t xml:space="preserve"> </w:t>
      </w:r>
      <m:oMath>
        <m:r>
          <m:t>200</m:t>
        </m:r>
        <m:r>
          <m:t>m</m:t>
        </m:r>
        <m:r>
          <m:t>i</m:t>
        </m:r>
        <m:r>
          <m:t>l</m:t>
        </m:r>
        <m:r>
          <m:t>l</m:t>
        </m:r>
        <m:r>
          <m:t>i</m:t>
        </m:r>
        <m:r>
          <m:t>o</m:t>
        </m:r>
        <m:r>
          <m:t>n</m:t>
        </m:r>
        <m:r>
          <m:t>t</m:t>
        </m:r>
        <m:r>
          <m:t>o</m:t>
        </m:r>
        <m:r>
          <m:rPr>
            <m:sty m:val="p"/>
          </m:rPr>
          <m:t>*</m:t>
        </m:r>
        <m:r>
          <m:rPr>
            <m:sty m:val="p"/>
          </m:rPr>
          <m:t>*</m:t>
        </m:r>
      </m:oMath>
      <w:r>
        <w:t xml:space="preserve">300 million**, repurchased $331 million in Q1 plus another $100 million in April, and flagged accelerating capital return as capital frees up from the AIG commercial retail transaction and the completed sale of the Canadian retail unit.</w:t>
      </w:r>
    </w:p>
    <w:p>
      <w:pPr>
        <w:pStyle w:val="BodyText"/>
      </w:pPr>
      <w:r>
        <w:t xml:space="preserve">Investors should judge Q2 against that trajectory — is underwriting discipline in Global Wholesale &amp; Specialty continuing to show through in the attritional loss ratio (58.9% in Q1, a 380bp improvement), and is the mix shift out of casualty and into short-tail/specialty lines still driving margin?</w:t>
      </w:r>
    </w:p>
    <w:bookmarkEnd w:id="11"/>
    <w:bookmarkStart w:id="12" w:name="key-themes-to-watch"/>
    <w:p>
      <w:pPr>
        <w:pStyle w:val="Heading2"/>
      </w:pPr>
      <w:r>
        <w:t xml:space="preserve">Key Themes to Watch</w:t>
      </w:r>
    </w:p>
    <w:p>
      <w:pPr>
        <w:pStyle w:val="FirstParagraph"/>
      </w:pPr>
      <w:r>
        <w:rPr>
          <w:b/>
          <w:bCs/>
        </w:rPr>
        <w:t xml:space="preserve">1. Property-cat pricing softness at the midyear renewal.</w:t>
      </w:r>
      <w:r>
        <w:t xml:space="preserve"> </w:t>
      </w:r>
      <w:r>
        <w:t xml:space="preserve">On the Q1 call, CEO Jim Williamson said property-cat rates were down 13% globally at 4/1 and guided that</w:t>
      </w:r>
      <w:r>
        <w:t xml:space="preserve"> </w:t>
      </w:r>
      <w:r>
        <w:rPr>
          <w:b/>
          <w:bCs/>
        </w:rPr>
        <w:t xml:space="preserve">Florida rates at the June 1 renewal would likely come off "in the mid-teens zone,"</w:t>
      </w:r>
      <w:r>
        <w:t xml:space="preserve"> </w:t>
      </w:r>
      <w:r>
        <w:t xml:space="preserve">while noting terms, conditions and attachment points were holding. Q2 results will show how that played out and whether Everest pulled back capacity or leaned in, particularly given management's commentary that Florida tort reform benefits are showing up clearly in the data.</w:t>
      </w:r>
    </w:p>
    <w:p>
      <w:pPr>
        <w:pStyle w:val="BodyText"/>
      </w:pPr>
      <w:r>
        <w:rPr>
          <w:b/>
          <w:bCs/>
        </w:rPr>
        <w:t xml:space="preserve">2. Casualty reserves and the Baltimore Bridge collapse.</w:t>
      </w:r>
      <w:r>
        <w:t xml:space="preserve"> </w:t>
      </w:r>
      <w:r>
        <w:t xml:space="preserve">Management flagged on the Q1 call that industry loss estimates for the Baltimore Bridge collapse (Dali/Key Bridge) had been creeping higher and that Everest might need to add "a few tens of millions of dollars" of incremental reserves in Q2 or Q3. Peer RenaissanceRe's Q2 print already showed a $54 million reclassification of Baltimore Bridge reserves from property to casualty, so this is a live sector issue — watch for how (and where) Everest books any true-up.</w:t>
      </w:r>
    </w:p>
    <w:p>
      <w:pPr>
        <w:pStyle w:val="BodyText"/>
      </w:pPr>
      <w:r>
        <w:rPr>
          <w:b/>
          <w:bCs/>
        </w:rPr>
        <w:t xml:space="preserve">3. Benign cat quarter industry-wide.</w:t>
      </w:r>
      <w:r>
        <w:t xml:space="preserve"> </w:t>
      </w:r>
      <w:r>
        <w:t xml:space="preserve">The 2026 Atlantic hurricane season has been notably quiet through July, with only weak, short-lived systems (Arthur, Bertha) forming and Colorado State's forecasters cutting their seasonal activity outlook to roughly 40–45% of long-term averages amid a strong El Niño. That backdrop is visible in peer results already reported: RenaissanceRe posted a 72.8% combined ratio with light cat losses and $199 million of net favorable reserve development; Arch Capital's cat losses were $201 million pre-tax with an 83.5% combined ratio; and Chubb's cat losses fell to $475 million from $630 million a year ago. A similarly clean cat quarter should be a tailwind for Everest's headline combined ratio, though the Iran war provision that hit Q1 (a $58 million charge) is a reminder that geopolitical/non-natural-catastrophe losses remain a wildcard.</w:t>
      </w:r>
    </w:p>
    <w:p>
      <w:pPr>
        <w:pStyle w:val="BodyText"/>
      </w:pPr>
      <w:r>
        <w:rPr>
          <w:b/>
          <w:bCs/>
        </w:rPr>
        <w:t xml:space="preserve">4. New CFO's first call.</w:t>
      </w:r>
      <w:r>
        <w:t xml:space="preserve"> </w:t>
      </w:r>
      <w:r>
        <w:t xml:space="preserve">Elias Habayeb formally became Everest's CFO effective around May 1, 2026, succeeding Mark Kociancic, who is staying on as a special advisor through July 31. This will be Habayeb's first earnings call in the seat — worth watching for any shifts in disclosure emphasis, expense-ratio targeting, or capital-return framing, even though strategic continuity is expected under CEO Jim Williamson.</w:t>
      </w:r>
    </w:p>
    <w:p>
      <w:pPr>
        <w:pStyle w:val="BodyText"/>
      </w:pPr>
      <w:r>
        <w:rPr>
          <w:b/>
          <w:bCs/>
        </w:rPr>
        <w:t xml:space="preserve">5. Capital return cadence and M&amp;A-related proceeds.</w:t>
      </w:r>
      <w:r>
        <w:t xml:space="preserve"> </w:t>
      </w:r>
      <w:r>
        <w:t xml:space="preserve">Management guided to a programmatic buyback approach through the year with potential upside "later in the year" tied to how hurricane season plays out and to capital released from the Legacy segment's reserve runoff and the AIG/Canada transactions, which are expected to become more visible in the back half of 2026. Investors should look for confirmation of the $300 million quarterly floor being met or exceeded, and any updated timeline on capital release from the divestitures.</w:t>
      </w:r>
    </w:p>
    <w:p>
      <w:pPr>
        <w:pStyle w:val="BodyText"/>
      </w:pPr>
      <w:r>
        <w:rPr>
          <w:b/>
          <w:bCs/>
        </w:rPr>
        <w:t xml:space="preserve">6. Legacy segment drag and expense ratio trends.</w:t>
      </w:r>
      <w:r>
        <w:t xml:space="preserve"> </w:t>
      </w:r>
      <w:r>
        <w:t xml:space="preserve">The Legacy segment (now housing residual commercial retail insurance runoff) is guided to run above a 110% combined ratio for full-year 2026 as the AIG transition progresses, with roughly $150 million of associated restructuring charges expected through the year, booked below the underwriting line. On the expense side, management guided the underwriting expense ratio to stay in a 6-7% range near-term rather than dropping meaningfully below 6%, given headwinds from lower net earned premium as retail runs off.</w:t>
      </w:r>
    </w:p>
    <w:bookmarkEnd w:id="12"/>
    <w:bookmarkStart w:id="13" w:name="bottom-line"/>
    <w:p>
      <w:pPr>
        <w:pStyle w:val="Heading2"/>
      </w:pPr>
      <w:r>
        <w:t xml:space="preserve">Bottom Line</w:t>
      </w:r>
    </w:p>
    <w:p>
      <w:pPr>
        <w:pStyle w:val="FirstParagraph"/>
      </w:pPr>
      <w:r>
        <w:t xml:space="preserve">Everest goes into Thursday's report with underlying momentum — a cleaner segment structure, disciplined underwriting, an accelerating buyback, and a favorable industry cat backdrop — but also real swing factors: further softening in property-cat pricing at midyear, potential incremental casualty/Baltimore Bridge reserve additions, and the optics of a first quarter under a new CFO. With consensus already discounting a mid-teens percentage EPS decline versus last year's cat-heavy comp, the bar looks achievable; the more important signals for the stock will likely be commentary on the June 1 Florida renewal outcome, the pace of capital return tied to the AIG/Canada proceeds, and whether Global Wholesale &amp; Specialty's margin improvement continues to look durable rather than one-off.</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2026-07-29T01:57:29Z</dcterms:created>
  <dcterms:modified xsi:type="dcterms:W3CDTF">2026-07-29T01:57:29Z</dcterms:modified>
</cp:coreProperties>
</file>

<file path=docProps/custom.xml><?xml version="1.0" encoding="utf-8"?>
<Properties xmlns="http://schemas.openxmlformats.org/officeDocument/2006/custom-properties" xmlns:vt="http://schemas.openxmlformats.org/officeDocument/2006/docPropsVTypes"/>
</file>