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g-earnings-predictions--2026-07-29"/>
    <w:p>
      <w:pPr>
        <w:pStyle w:val="Heading1"/>
      </w:pPr>
      <w:r>
        <w:t xml:space="preserve">EG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~$16.85 vs. cons $14.52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group combined ratio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~89.8% vs. cons 91.3%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Global Wholesale &amp; Specialty attritional combined ratio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~92.4% vs. cons 92.7%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Total share repurchases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~$1.30B vs. cons $1.20B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Treaty Reinsurance gross written premium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~-8% vs. cons -5% (2H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Global Wholesale &amp; Specialty attritional combined ratio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~92.3% vs. cons 92.5% (2H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+1.6%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+0.2% (FADE)</w:t>
            </w:r>
          </w:p>
        </w:tc>
        <w:tc>
          <w:tcPr/>
          <w:p>
            <w:pPr>
              <w:pStyle w:val="Compact"/>
            </w:pPr>
            <w:r>
              <w:t xml:space="preserve">5-day residual ~+0.2% vs. day-1 residual +1.6%: a low-catastrophe EPS beat and stronger capital return support the initial move, but softer midyear reinsurance pricing and deliberate casualty-volume reductions imply limited out-period revenue upside and modest 2027 estimate cuts after the print.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2026-07-29T01:57:09Z</dcterms:created>
  <dcterms:modified xsi:type="dcterms:W3CDTF">2026-07-29T01:57:09Z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