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a24557c6bb79c6b0461012fd27b1126335fa6b1"/>
    <w:p>
      <w:pPr>
        <w:pStyle w:val="Heading1"/>
      </w:pPr>
      <w:r>
        <w:t xml:space="preserve">Everest Group (NYSE: EG) — Q2 2026 Earnings Preview</w:t>
      </w:r>
    </w:p>
    <w:p>
      <w:pPr>
        <w:pStyle w:val="BlockText"/>
      </w:pPr>
      <w:r>
        <w:rPr>
          <w:b/>
          <w:bCs/>
        </w:rPr>
        <w:t xml:space="preserve">Timing clarification:</w:t>
      </w:r>
      <w:r>
        <w:t xml:space="preserve"> </w:t>
      </w:r>
      <w:r>
        <w:t xml:space="preserve">Everest will release Q2 results</w:t>
      </w:r>
      <w:r>
        <w:t xml:space="preserve"> </w:t>
      </w:r>
      <w:r>
        <w:rPr>
          <w:b/>
          <w:bCs/>
        </w:rPr>
        <w:t xml:space="preserve">today, Wednesday, July 29, 2026, after the NYSE close</w:t>
      </w:r>
      <w:r>
        <w:t xml:space="preserve">. The earnings call is</w:t>
      </w:r>
      <w:r>
        <w:t xml:space="preserve"> </w:t>
      </w:r>
      <w:r>
        <w:rPr>
          <w:b/>
          <w:bCs/>
        </w:rPr>
        <w:t xml:space="preserve">tomorrow, Thursday, July 30, at 8:00 a.m. ET</w:t>
      </w:r>
      <w:r>
        <w:t xml:space="preserve">—not July 29. (</w:t>
      </w:r>
      <w:hyperlink r:id="rId9">
        <w:r>
          <w:rPr>
            <w:rStyle w:val="Hyperlink"/>
          </w:rPr>
          <w:t xml:space="preserve">investors.everestglobal.com</w:t>
        </w:r>
      </w:hyperlink>
      <w:r>
        <w:t xml:space="preserve">)</w:t>
      </w:r>
    </w:p>
    <w:bookmarkStart w:id="10" w:name="executive-view"/>
    <w:p>
      <w:pPr>
        <w:pStyle w:val="Heading2"/>
      </w:pPr>
      <w:r>
        <w:t xml:space="preserve">Executive view</w:t>
      </w:r>
    </w:p>
    <w:p>
      <w:pPr>
        <w:pStyle w:val="FirstParagraph"/>
      </w:pPr>
      <w:r>
        <w:t xml:space="preserve">This should be viewed as an</w:t>
      </w:r>
      <w:r>
        <w:t xml:space="preserve"> </w:t>
      </w:r>
      <w:r>
        <w:rPr>
          <w:b/>
          <w:bCs/>
        </w:rPr>
        <w:t xml:space="preserve">execution and capital-management quarter</w:t>
      </w:r>
      <w:r>
        <w:t xml:space="preserve">, not simply an EPS event.</w:t>
      </w:r>
    </w:p>
    <w:p>
      <w:pPr>
        <w:pStyle w:val="BodyText"/>
      </w:pPr>
      <w:r>
        <w:t xml:space="preserve">Everest’s Q1 results offered early evidence that its strategic reset—exiting commercial retail insurance, shrinking casualty exposure and concentrating on treaty reinsurance plus wholesale and specialty insurance—is improving the company’s return profile. The key question for Q2 is whether that progress survives a more competitive property-reinsurance market.</w:t>
      </w:r>
    </w:p>
    <w:p>
      <w:pPr>
        <w:pStyle w:val="BodyText"/>
      </w:pPr>
      <w:r>
        <w:t xml:space="preserve">Three issues should determine the stock’s reaction:</w:t>
      </w:r>
    </w:p>
    <w:p>
      <w:pPr>
        <w:pStyle w:val="Compact"/>
        <w:numPr>
          <w:ilvl w:val="0"/>
          <w:numId w:val="1001"/>
        </w:numPr>
      </w:pPr>
      <w:r>
        <w:rPr>
          <w:b/>
          <w:bCs/>
        </w:rPr>
        <w:t xml:space="preserve">How well treaty reinsurance margins held through midyear renewals.</w:t>
      </w:r>
    </w:p>
    <w:p>
      <w:pPr>
        <w:pStyle w:val="Compact"/>
        <w:numPr>
          <w:ilvl w:val="0"/>
          <w:numId w:val="1001"/>
        </w:numPr>
      </w:pPr>
      <w:r>
        <w:rPr>
          <w:b/>
          <w:bCs/>
        </w:rPr>
        <w:t xml:space="preserve">Whether Global Wholesale &amp; Specialty’s underwriting improvement is durable.</w:t>
      </w:r>
    </w:p>
    <w:p>
      <w:pPr>
        <w:pStyle w:val="Compact"/>
        <w:numPr>
          <w:ilvl w:val="0"/>
          <w:numId w:val="1001"/>
        </w:numPr>
      </w:pPr>
      <w:r>
        <w:rPr>
          <w:b/>
          <w:bCs/>
        </w:rPr>
        <w:t xml:space="preserve">How much capital Everest returned, and how much additional capital can be released from the retail exit.</w:t>
      </w:r>
    </w:p>
    <w:p>
      <w:pPr>
        <w:pStyle w:val="FirstParagraph"/>
      </w:pPr>
      <w:r>
        <w:t xml:space="preserve">A relatively benign catastrophe quarter should help headline earnings. However, with the shares already up roughly</w:t>
      </w:r>
      <w:r>
        <w:t xml:space="preserve"> </w:t>
      </w:r>
      <w:r>
        <w:rPr>
          <w:b/>
          <w:bCs/>
        </w:rPr>
        <w:t xml:space="preserve">16% since the Q1 report</w:t>
      </w:r>
      <w:r>
        <w:t xml:space="preserve"> </w:t>
      </w:r>
      <w:r>
        <w:t xml:space="preserve">and trading around Q1 book value excluding unrealized bond losses, investors are likely to demand more than an ordinary EPS beat.</w:t>
      </w:r>
    </w:p>
    <w:p>
      <w:r>
        <w:pict>
          <v:rect style="width:0;height:1.5pt" o:hralign="center" o:hrstd="t" o:hr="t"/>
        </w:pict>
      </w:r>
    </w:p>
    <w:bookmarkEnd w:id="10"/>
    <w:bookmarkStart w:id="13" w:name="street-reference-points"/>
    <w:p>
      <w:pPr>
        <w:pStyle w:val="Heading2"/>
      </w:pPr>
      <w:r>
        <w:t xml:space="preserve">Street reference points</w:t>
      </w:r>
    </w:p>
    <w:p>
      <w:pPr>
        <w:pStyle w:val="FirstParagraph"/>
      </w:pPr>
      <w:r>
        <w:t xml:space="preserve">Third-party consensus data currently points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2026 consensus</w:t>
            </w:r>
          </w:p>
        </w:tc>
      </w:tr>
      <w:tr>
        <w:tc>
          <w:tcPr/>
          <w:p>
            <w:pPr>
              <w:pStyle w:val="Compact"/>
            </w:pPr>
            <w:r>
              <w:t xml:space="preserve">Operating EPS</w:t>
            </w:r>
          </w:p>
        </w:tc>
        <w:tc>
          <w:tcPr/>
          <w:p>
            <w:pPr>
              <w:pStyle w:val="Compact"/>
              <w:jc w:val="right"/>
            </w:pPr>
            <w:r>
              <w:rPr>
                <w:b/>
                <w:bCs/>
              </w:rPr>
              <w:t xml:space="preserve">$14.52</w:t>
            </w:r>
          </w:p>
        </w:tc>
      </w:tr>
      <w:tr>
        <w:tc>
          <w:tcPr/>
          <w:p>
            <w:pPr>
              <w:pStyle w:val="Compact"/>
            </w:pPr>
            <w:r>
              <w:t xml:space="preserve">Revenue</w:t>
            </w:r>
          </w:p>
        </w:tc>
        <w:tc>
          <w:tcPr/>
          <w:p>
            <w:pPr>
              <w:pStyle w:val="Compact"/>
              <w:jc w:val="right"/>
            </w:pPr>
            <w:r>
              <w:rPr>
                <w:b/>
                <w:bCs/>
              </w:rPr>
              <w:t xml:space="preserve">$3.99 billion</w:t>
            </w:r>
          </w:p>
        </w:tc>
      </w:tr>
    </w:tbl>
    <w:p>
      <w:pPr>
        <w:pStyle w:val="BodyText"/>
      </w:pPr>
      <w:r>
        <w:t xml:space="preserve">Consensus figures vary by provider and revenue is less informative for an insurer undergoing a large portfolio exit, so the underwriting ratios, reserve development and book-value growth deserve more weight. (</w:t>
      </w:r>
      <w:hyperlink r:id="rId11">
        <w:r>
          <w:rPr>
            <w:rStyle w:val="Hyperlink"/>
          </w:rPr>
          <w:t xml:space="preserve">marketbeat.com</w:t>
        </w:r>
      </w:hyperlink>
      <w:r>
        <w:t xml:space="preserve">)</w:t>
      </w:r>
    </w:p>
    <w:p>
      <w:pPr>
        <w:pStyle w:val="BodyText"/>
      </w:pPr>
      <w:r>
        <w:t xml:space="preserve">Q1 operating EPS was $16.08, but that quarter benefited from strong alternative-investment returns and an unusually low 11.7% operating tax rate. Q1 also produced a 91.2% group combined ratio, $316 million of underwriting income and $567 million of net investment income. (</w:t>
      </w:r>
      <w:hyperlink r:id="rId12">
        <w:r>
          <w:rPr>
            <w:rStyle w:val="Hyperlink"/>
          </w:rPr>
          <w:t xml:space="preserve">investors.everestglobal.com</w:t>
        </w:r>
      </w:hyperlink>
      <w:r>
        <w:t xml:space="preserve">)</w:t>
      </w:r>
    </w:p>
    <w:p>
      <w:r>
        <w:pict>
          <v:rect style="width:0;height:1.5pt" o:hralign="center" o:hrstd="t" o:hr="t"/>
        </w:pict>
      </w:r>
    </w:p>
    <w:bookmarkEnd w:id="13"/>
    <w:bookmarkStart w:id="17" w:name="X684cc33368c334b8b2d1c75e7caea99f44b1aaa"/>
    <w:p>
      <w:pPr>
        <w:pStyle w:val="Heading2"/>
      </w:pPr>
      <w:r>
        <w:t xml:space="preserve">1. Treaty reinsurance: strong margins versus faster price softening</w:t>
      </w:r>
    </w:p>
    <w:p>
      <w:pPr>
        <w:pStyle w:val="FirstParagraph"/>
      </w:pPr>
      <w:r>
        <w:t xml:space="preserve">Treaty Reinsurance is the central earnings engine. It generated almost all of Everest’s Q1 underwriting profit:</w:t>
      </w:r>
    </w:p>
    <w:p>
      <w:pPr>
        <w:pStyle w:val="Compact"/>
        <w:numPr>
          <w:ilvl w:val="0"/>
          <w:numId w:val="1002"/>
        </w:numPr>
      </w:pPr>
      <w:r>
        <w:rPr>
          <w:b/>
          <w:bCs/>
        </w:rPr>
        <w:t xml:space="preserve">$315 million</w:t>
      </w:r>
      <w:r>
        <w:t xml:space="preserve"> </w:t>
      </w:r>
      <w:r>
        <w:t xml:space="preserve">of underwriting income</w:t>
      </w:r>
    </w:p>
    <w:p>
      <w:pPr>
        <w:pStyle w:val="Compact"/>
        <w:numPr>
          <w:ilvl w:val="0"/>
          <w:numId w:val="1002"/>
        </w:numPr>
      </w:pPr>
      <w:r>
        <w:rPr>
          <w:b/>
          <w:bCs/>
        </w:rPr>
        <w:t xml:space="preserve">87.2% combined ratio</w:t>
      </w:r>
    </w:p>
    <w:p>
      <w:pPr>
        <w:pStyle w:val="Compact"/>
        <w:numPr>
          <w:ilvl w:val="0"/>
          <w:numId w:val="1002"/>
        </w:numPr>
      </w:pPr>
      <w:r>
        <w:rPr>
          <w:b/>
          <w:bCs/>
        </w:rPr>
        <w:t xml:space="preserve">85.0% attritional combined ratio</w:t>
      </w:r>
    </w:p>
    <w:p>
      <w:pPr>
        <w:pStyle w:val="Compact"/>
        <w:numPr>
          <w:ilvl w:val="0"/>
          <w:numId w:val="1002"/>
        </w:numPr>
      </w:pPr>
      <w:r>
        <w:rPr>
          <w:b/>
          <w:bCs/>
        </w:rPr>
        <w:t xml:space="preserve">$2.7 billion</w:t>
      </w:r>
      <w:r>
        <w:t xml:space="preserve"> </w:t>
      </w:r>
      <w:r>
        <w:t xml:space="preserve">of gross written premium, down 8.9% year over year</w:t>
      </w:r>
    </w:p>
    <w:p>
      <w:pPr>
        <w:pStyle w:val="Compact"/>
        <w:numPr>
          <w:ilvl w:val="0"/>
          <w:numId w:val="1002"/>
        </w:numPr>
      </w:pPr>
      <w:r>
        <w:t xml:space="preserve">23.9% reduction in casualty pro-rata premium</w:t>
      </w:r>
    </w:p>
    <w:p>
      <w:pPr>
        <w:pStyle w:val="FirstParagraph"/>
      </w:pPr>
      <w:r>
        <w:t xml:space="preserve">The reduction in premium is largely deliberate: Everest has been exiting casualty treaties where ceding commissions, loss-cost uncertainty or contract structure do not meet its return requirements. (</w:t>
      </w:r>
      <w:hyperlink r:id="rId12">
        <w:r>
          <w:rPr>
            <w:rStyle w:val="Hyperlink"/>
          </w:rPr>
          <w:t xml:space="preserve">investors.everestglobal.com</w:t>
        </w:r>
      </w:hyperlink>
      <w:r>
        <w:t xml:space="preserve">)</w:t>
      </w:r>
    </w:p>
    <w:bookmarkStart w:id="16" w:name="the-q2-debate"/>
    <w:p>
      <w:pPr>
        <w:pStyle w:val="Heading3"/>
      </w:pPr>
      <w:r>
        <w:t xml:space="preserve">The Q2 debate</w:t>
      </w:r>
    </w:p>
    <w:p>
      <w:pPr>
        <w:pStyle w:val="FirstParagraph"/>
      </w:pPr>
      <w:r>
        <w:t xml:space="preserve">Property-catastrophe pricing softened more sharply at the midyear renewals than management expected in April. Gallagher Re described rate reductions across classes and geographies as faster than anticipated, reflecting abundant capacity and a growing supply-demand imbalance. (</w:t>
      </w:r>
      <w:hyperlink r:id="rId14">
        <w:r>
          <w:rPr>
            <w:rStyle w:val="Hyperlink"/>
          </w:rPr>
          <w:t xml:space="preserve">ajg.com</w:t>
        </w:r>
      </w:hyperlink>
      <w:r>
        <w:t xml:space="preserve">)</w:t>
      </w:r>
    </w:p>
    <w:p>
      <w:pPr>
        <w:pStyle w:val="BodyText"/>
      </w:pPr>
      <w:r>
        <w:t xml:space="preserve">Florida risk-adjusted pricing was reportedly down roughly 15%–20% at June renewals, broadly consistent with management’s earlier expectation for mid-teens declines but potentially worse on some programs. (</w:t>
      </w:r>
      <w:hyperlink r:id="rId15">
        <w:r>
          <w:rPr>
            <w:rStyle w:val="Hyperlink"/>
          </w:rPr>
          <w:t xml:space="preserve">theinsurer.com</w:t>
        </w:r>
      </w:hyperlink>
      <w:r>
        <w:t xml:space="preserve">)</w:t>
      </w:r>
    </w:p>
    <w:p>
      <w:pPr>
        <w:pStyle w:val="BodyText"/>
      </w:pPr>
      <w:r>
        <w:t xml:space="preserve">Investors should focus on:</w:t>
      </w:r>
    </w:p>
    <w:p>
      <w:pPr>
        <w:pStyle w:val="Compact"/>
        <w:numPr>
          <w:ilvl w:val="0"/>
          <w:numId w:val="1003"/>
        </w:numPr>
      </w:pPr>
      <w:r>
        <w:rPr>
          <w:b/>
          <w:bCs/>
        </w:rPr>
        <w:t xml:space="preserve">June 1 and July 1 renewal pricing</w:t>
      </w:r>
    </w:p>
    <w:p>
      <w:pPr>
        <w:pStyle w:val="Compact"/>
        <w:numPr>
          <w:ilvl w:val="0"/>
          <w:numId w:val="1003"/>
        </w:numPr>
      </w:pPr>
      <w:r>
        <w:t xml:space="preserve">Changes in signed premium and expected returns</w:t>
      </w:r>
    </w:p>
    <w:p>
      <w:pPr>
        <w:pStyle w:val="Compact"/>
        <w:numPr>
          <w:ilvl w:val="0"/>
          <w:numId w:val="1003"/>
        </w:numPr>
      </w:pPr>
      <w:r>
        <w:t xml:space="preserve">Whether attachment points and contract terms remained firm</w:t>
      </w:r>
    </w:p>
    <w:p>
      <w:pPr>
        <w:pStyle w:val="Compact"/>
        <w:numPr>
          <w:ilvl w:val="0"/>
          <w:numId w:val="1003"/>
        </w:numPr>
      </w:pPr>
      <w:r>
        <w:t xml:space="preserve">Any reduction in Florida or other peak-zone exposure</w:t>
      </w:r>
    </w:p>
    <w:p>
      <w:pPr>
        <w:pStyle w:val="Compact"/>
        <w:numPr>
          <w:ilvl w:val="0"/>
          <w:numId w:val="1003"/>
        </w:numPr>
      </w:pPr>
      <w:r>
        <w:t xml:space="preserve">Whether management still believes property-cat returns exceed its hurdle rates</w:t>
      </w:r>
    </w:p>
    <w:p>
      <w:pPr>
        <w:pStyle w:val="FirstParagraph"/>
      </w:pPr>
      <w:r>
        <w:t xml:space="preserve">A premium decline accompanied by a stable attritional combined ratio would be acceptable. A decline in both premium and prospective margins would suggest the reinsurance cycle is deteriorating faster than expected.</w:t>
      </w:r>
    </w:p>
    <w:p>
      <w:r>
        <w:pict>
          <v:rect style="width:0;height:1.5pt" o:hralign="center" o:hrstd="t" o:hr="t"/>
        </w:pict>
      </w:r>
    </w:p>
    <w:bookmarkEnd w:id="16"/>
    <w:bookmarkEnd w:id="17"/>
    <w:bookmarkStart w:id="20" w:name="Xbed3e1f209dd8306bea11b09969e9a3b199e561"/>
    <w:p>
      <w:pPr>
        <w:pStyle w:val="Heading2"/>
      </w:pPr>
      <w:r>
        <w:t xml:space="preserve">2. Catastrophe losses could provide the headline upside</w:t>
      </w:r>
    </w:p>
    <w:p>
      <w:pPr>
        <w:pStyle w:val="FirstParagraph"/>
      </w:pPr>
      <w:r>
        <w:t xml:space="preserve">Industry evidence points to a relatively light Q2 for major losses. Munich Re recently preannounced a substantial earnings beat, citing “very low” major-loss spending in property-casualty reinsurance and a strong investment result. (</w:t>
      </w:r>
      <w:hyperlink r:id="rId18">
        <w:r>
          <w:rPr>
            <w:rStyle w:val="Hyperlink"/>
          </w:rPr>
          <w:t xml:space="preserve">munichre.com</w:t>
        </w:r>
      </w:hyperlink>
      <w:r>
        <w:t xml:space="preserve">)</w:t>
      </w:r>
    </w:p>
    <w:p>
      <w:pPr>
        <w:pStyle w:val="BodyText"/>
      </w:pPr>
      <w:r>
        <w:t xml:space="preserve">That is constructive for Everest, although individual exposure and event classification can differ significantly between reinsurers.</w:t>
      </w:r>
    </w:p>
    <w:p>
      <w:pPr>
        <w:pStyle w:val="BodyText"/>
      </w:pPr>
      <w:r>
        <w:t xml:space="preserve">Q1 included $130 million of catastrophe losses, including exposure to the Middle East conflict and winter-weather events. Everest’s Q2 number should be lower if it followed the broader industry pattern. (</w:t>
      </w:r>
      <w:hyperlink r:id="rId12">
        <w:r>
          <w:rPr>
            <w:rStyle w:val="Hyperlink"/>
          </w:rPr>
          <w:t xml:space="preserve">investors.everestglobal.com</w:t>
        </w:r>
      </w:hyperlink>
      <w:r>
        <w:t xml:space="preserve">)</w:t>
      </w:r>
    </w:p>
    <w:bookmarkStart w:id="19" w:name="Xadfc39cd5a2dff74cadb1dca3b8c46ed4e6974b"/>
    <w:p>
      <w:pPr>
        <w:pStyle w:val="Heading3"/>
      </w:pPr>
      <w:r>
        <w:t xml:space="preserve">Items that could offset the benign natural-cat quarter</w:t>
      </w:r>
    </w:p>
    <w:p>
      <w:pPr>
        <w:pStyle w:val="Compact"/>
        <w:numPr>
          <w:ilvl w:val="0"/>
          <w:numId w:val="1004"/>
        </w:numPr>
      </w:pPr>
      <w:r>
        <w:rPr>
          <w:b/>
          <w:bCs/>
        </w:rPr>
        <w:t xml:space="preserve">Baltimore bridge:</w:t>
      </w:r>
      <w:r>
        <w:t xml:space="preserve"> </w:t>
      </w:r>
      <w:r>
        <w:t xml:space="preserve">In April, management said a higher industry loss estimate could require “a few tens of millions” of additional reserves.</w:t>
      </w:r>
    </w:p>
    <w:p>
      <w:pPr>
        <w:pStyle w:val="Compact"/>
        <w:numPr>
          <w:ilvl w:val="0"/>
          <w:numId w:val="1004"/>
        </w:numPr>
      </w:pPr>
      <w:r>
        <w:rPr>
          <w:b/>
          <w:bCs/>
        </w:rPr>
        <w:t xml:space="preserve">Middle East conflict:</w:t>
      </w:r>
      <w:r>
        <w:t xml:space="preserve"> </w:t>
      </w:r>
      <w:r>
        <w:t xml:space="preserve">Investors should check for changes to the initial Q1 estimate.</w:t>
      </w:r>
    </w:p>
    <w:p>
      <w:pPr>
        <w:pStyle w:val="Compact"/>
        <w:numPr>
          <w:ilvl w:val="0"/>
          <w:numId w:val="1004"/>
        </w:numPr>
      </w:pPr>
      <w:r>
        <w:rPr>
          <w:b/>
          <w:bCs/>
        </w:rPr>
        <w:t xml:space="preserve">Prior-year events:</w:t>
      </w:r>
      <w:r>
        <w:t xml:space="preserve"> </w:t>
      </w:r>
      <w:r>
        <w:t xml:space="preserve">Favorable property reserve releases may continue, but should not be assumed.</w:t>
      </w:r>
    </w:p>
    <w:p>
      <w:pPr>
        <w:pStyle w:val="Compact"/>
        <w:numPr>
          <w:ilvl w:val="0"/>
          <w:numId w:val="1004"/>
        </w:numPr>
      </w:pPr>
      <w:r>
        <w:rPr>
          <w:b/>
          <w:bCs/>
        </w:rPr>
        <w:t xml:space="preserve">Aviation, marine and political-risk exposures:</w:t>
      </w:r>
      <w:r>
        <w:t xml:space="preserve"> </w:t>
      </w:r>
      <w:r>
        <w:t xml:space="preserve">These can fall outside a simple natural-catastrophe framework.</w:t>
      </w:r>
    </w:p>
    <w:p>
      <w:pPr>
        <w:pStyle w:val="FirstParagraph"/>
      </w:pPr>
      <w:r>
        <w:t xml:space="preserve">A clean catastrophe result would make an EPS beat more likely, but the higher-quality signal would be a strong combined ratio</w:t>
      </w:r>
      <w:r>
        <w:t xml:space="preserve"> </w:t>
      </w:r>
      <w:r>
        <w:rPr>
          <w:b/>
          <w:bCs/>
        </w:rPr>
        <w:t xml:space="preserve">without unusually large favorable reserve development</w:t>
      </w:r>
      <w:r>
        <w:t xml:space="preserve">.</w:t>
      </w:r>
    </w:p>
    <w:p>
      <w:r>
        <w:pict>
          <v:rect style="width:0;height:1.5pt" o:hralign="center" o:hrstd="t" o:hr="t"/>
        </w:pict>
      </w:r>
    </w:p>
    <w:bookmarkEnd w:id="19"/>
    <w:bookmarkEnd w:id="20"/>
    <w:bookmarkStart w:id="22" w:name="Xbc40cd955c501f3eabee9e47ea3c78859cb8d95"/>
    <w:p>
      <w:pPr>
        <w:pStyle w:val="Heading2"/>
      </w:pPr>
      <w:r>
        <w:t xml:space="preserve">3. Global Wholesale &amp; Specialty must show that Q1 was repeatable</w:t>
      </w:r>
    </w:p>
    <w:p>
      <w:pPr>
        <w:pStyle w:val="FirstParagraph"/>
      </w:pPr>
      <w:r>
        <w:t xml:space="preserve">This is probably the most important strategic KPI in the report.</w:t>
      </w:r>
    </w:p>
    <w:p>
      <w:pPr>
        <w:pStyle w:val="BodyText"/>
      </w:pPr>
      <w:r>
        <w:t xml:space="preserve">Q1 results were mixed: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Q1 2026 metric</w:t>
            </w:r>
          </w:p>
        </w:tc>
        <w:tc>
          <w:tcPr/>
          <w:p>
            <w:pPr>
              <w:pStyle w:val="Compact"/>
              <w:jc w:val="right"/>
            </w:pPr>
            <w:r>
              <w:t xml:space="preserve">Result</w:t>
            </w:r>
          </w:p>
        </w:tc>
      </w:tr>
      <w:tr>
        <w:tc>
          <w:tcPr/>
          <w:p>
            <w:pPr>
              <w:pStyle w:val="Compact"/>
            </w:pPr>
            <w:r>
              <w:t xml:space="preserve">Gross written premium</w:t>
            </w:r>
          </w:p>
        </w:tc>
        <w:tc>
          <w:tcPr/>
          <w:p>
            <w:pPr>
              <w:pStyle w:val="Compact"/>
              <w:jc w:val="right"/>
            </w:pPr>
            <w:r>
              <w:t xml:space="preserve">$793 million</w:t>
            </w:r>
          </w:p>
        </w:tc>
      </w:tr>
      <w:tr>
        <w:tc>
          <w:tcPr/>
          <w:p>
            <w:pPr>
              <w:pStyle w:val="Compact"/>
            </w:pPr>
            <w:r>
              <w:t xml:space="preserve">Comparable growth</w:t>
            </w:r>
          </w:p>
        </w:tc>
        <w:tc>
          <w:tcPr/>
          <w:p>
            <w:pPr>
              <w:pStyle w:val="Compact"/>
              <w:jc w:val="right"/>
            </w:pPr>
            <w:r>
              <w:t xml:space="preserve">1.6%</w:t>
            </w:r>
          </w:p>
        </w:tc>
      </w:tr>
      <w:tr>
        <w:tc>
          <w:tcPr/>
          <w:p>
            <w:pPr>
              <w:pStyle w:val="Compact"/>
            </w:pPr>
            <w:r>
              <w:t xml:space="preserve">Combined ratio</w:t>
            </w:r>
          </w:p>
        </w:tc>
        <w:tc>
          <w:tcPr/>
          <w:p>
            <w:pPr>
              <w:pStyle w:val="Compact"/>
              <w:jc w:val="right"/>
            </w:pPr>
            <w:r>
              <w:t xml:space="preserve">96.8%</w:t>
            </w:r>
          </w:p>
        </w:tc>
      </w:tr>
      <w:tr>
        <w:tc>
          <w:tcPr/>
          <w:p>
            <w:pPr>
              <w:pStyle w:val="Compact"/>
            </w:pPr>
            <w:r>
              <w:t xml:space="preserve">Attritional combined ratio</w:t>
            </w:r>
          </w:p>
        </w:tc>
        <w:tc>
          <w:tcPr/>
          <w:p>
            <w:pPr>
              <w:pStyle w:val="Compact"/>
              <w:jc w:val="right"/>
            </w:pPr>
            <w:r>
              <w:t xml:space="preserve">92.6%</w:t>
            </w:r>
          </w:p>
        </w:tc>
      </w:tr>
      <w:tr>
        <w:tc>
          <w:tcPr/>
          <w:p>
            <w:pPr>
              <w:pStyle w:val="Compact"/>
            </w:pPr>
            <w:r>
              <w:t xml:space="preserve">Attritional loss ratio</w:t>
            </w:r>
          </w:p>
        </w:tc>
        <w:tc>
          <w:tcPr/>
          <w:p>
            <w:pPr>
              <w:pStyle w:val="Compact"/>
              <w:jc w:val="right"/>
            </w:pPr>
            <w:r>
              <w:t xml:space="preserve">58.9%</w:t>
            </w:r>
          </w:p>
        </w:tc>
      </w:tr>
      <w:tr>
        <w:tc>
          <w:tcPr/>
          <w:p>
            <w:pPr>
              <w:pStyle w:val="Compact"/>
            </w:pPr>
            <w:r>
              <w:t xml:space="preserve">Underwriting income</w:t>
            </w:r>
          </w:p>
        </w:tc>
        <w:tc>
          <w:tcPr/>
          <w:p>
            <w:pPr>
              <w:pStyle w:val="Compact"/>
              <w:jc w:val="right"/>
            </w:pPr>
            <w:r>
              <w:t xml:space="preserve">$23 million</w:t>
            </w:r>
          </w:p>
        </w:tc>
      </w:tr>
    </w:tbl>
    <w:p>
      <w:pPr>
        <w:pStyle w:val="BodyText"/>
      </w:pPr>
      <w:r>
        <w:t xml:space="preserve">The favorable development was the</w:t>
      </w:r>
      <w:r>
        <w:t xml:space="preserve"> </w:t>
      </w:r>
      <w:r>
        <w:rPr>
          <w:b/>
          <w:bCs/>
        </w:rPr>
        <w:t xml:space="preserve">3.8-point improvement in the attritional loss ratio</w:t>
      </w:r>
      <w:r>
        <w:t xml:space="preserve">, reflecting portfolio remediation and a shift toward specialty and shorter-tail business. The concern was the</w:t>
      </w:r>
      <w:r>
        <w:t xml:space="preserve"> </w:t>
      </w:r>
      <w:r>
        <w:rPr>
          <w:b/>
          <w:bCs/>
        </w:rPr>
        <w:t xml:space="preserve">33.8% total expense ratio</w:t>
      </w:r>
      <w:r>
        <w:t xml:space="preserve">, driven by mix, reduced casualty earned premium and investments in people and technology. (</w:t>
      </w:r>
      <w:hyperlink r:id="rId12">
        <w:r>
          <w:rPr>
            <w:rStyle w:val="Hyperlink"/>
          </w:rPr>
          <w:t xml:space="preserve">investors.everestglobal.com</w:t>
        </w:r>
      </w:hyperlink>
      <w:r>
        <w:t xml:space="preserve">)</w:t>
      </w:r>
    </w:p>
    <w:bookmarkStart w:id="21" w:name="what-would-constitute-progress"/>
    <w:p>
      <w:pPr>
        <w:pStyle w:val="Heading3"/>
      </w:pPr>
      <w:r>
        <w:t xml:space="preserve">What would constitute progress</w:t>
      </w:r>
    </w:p>
    <w:p>
      <w:pPr>
        <w:pStyle w:val="Compact"/>
        <w:numPr>
          <w:ilvl w:val="0"/>
          <w:numId w:val="1005"/>
        </w:numPr>
      </w:pPr>
      <w:r>
        <w:t xml:space="preserve">Attritional combined ratio remains around</w:t>
      </w:r>
      <w:r>
        <w:t xml:space="preserve"> </w:t>
      </w:r>
      <w:r>
        <w:rPr>
          <w:b/>
          <w:bCs/>
        </w:rPr>
        <w:t xml:space="preserve">92%–93% or improves</w:t>
      </w:r>
    </w:p>
    <w:p>
      <w:pPr>
        <w:pStyle w:val="Compact"/>
        <w:numPr>
          <w:ilvl w:val="0"/>
          <w:numId w:val="1005"/>
        </w:numPr>
      </w:pPr>
      <w:r>
        <w:t xml:space="preserve">Combined ratio stays below</w:t>
      </w:r>
      <w:r>
        <w:t xml:space="preserve"> </w:t>
      </w:r>
      <w:r>
        <w:rPr>
          <w:b/>
          <w:bCs/>
        </w:rPr>
        <w:t xml:space="preserve">97%</w:t>
      </w:r>
      <w:r>
        <w:t xml:space="preserve"> </w:t>
      </w:r>
      <w:r>
        <w:t xml:space="preserve">absent material catastrophes</w:t>
      </w:r>
    </w:p>
    <w:p>
      <w:pPr>
        <w:pStyle w:val="Compact"/>
        <w:numPr>
          <w:ilvl w:val="0"/>
          <w:numId w:val="1005"/>
        </w:numPr>
      </w:pPr>
      <w:r>
        <w:t xml:space="preserve">Positive growth in accident and health, professional liability and other specialty lines</w:t>
      </w:r>
    </w:p>
    <w:p>
      <w:pPr>
        <w:pStyle w:val="Compact"/>
        <w:numPr>
          <w:ilvl w:val="0"/>
          <w:numId w:val="1005"/>
        </w:numPr>
      </w:pPr>
      <w:r>
        <w:t xml:space="preserve">Continued reduction in poorly priced U.S. casualty</w:t>
      </w:r>
    </w:p>
    <w:p>
      <w:pPr>
        <w:pStyle w:val="Compact"/>
        <w:numPr>
          <w:ilvl w:val="0"/>
          <w:numId w:val="1005"/>
        </w:numPr>
      </w:pPr>
      <w:r>
        <w:t xml:space="preserve">Expense ratio begins to stabilize</w:t>
      </w:r>
    </w:p>
    <w:p>
      <w:pPr>
        <w:pStyle w:val="FirstParagraph"/>
      </w:pPr>
      <w:r>
        <w:t xml:space="preserve">The segment does not need rapid premium growth. It does need to demonstrate that better loss selection can offset its currently elevated expense structure.</w:t>
      </w:r>
    </w:p>
    <w:p>
      <w:pPr>
        <w:pStyle w:val="BodyText"/>
      </w:pPr>
      <w:r>
        <w:t xml:space="preserve">A reversal in the attritional loss ratio would raise concerns that Q1’s improvement was partly mix or loss-pick timing rather than a sustainable change in underwriting quality.</w:t>
      </w:r>
    </w:p>
    <w:p>
      <w:r>
        <w:pict>
          <v:rect style="width:0;height:1.5pt" o:hralign="center" o:hrstd="t" o:hr="t"/>
        </w:pict>
      </w:r>
    </w:p>
    <w:bookmarkEnd w:id="21"/>
    <w:bookmarkEnd w:id="22"/>
    <w:bookmarkStart w:id="23" w:name="Xb597d301f95e65dd18fa79e63d07da05773bf44"/>
    <w:p>
      <w:pPr>
        <w:pStyle w:val="Heading2"/>
      </w:pPr>
      <w:r>
        <w:t xml:space="preserve">4. Reserves remain the main downside risk</w:t>
      </w:r>
    </w:p>
    <w:p>
      <w:pPr>
        <w:pStyle w:val="FirstParagraph"/>
      </w:pPr>
      <w:r>
        <w:t xml:space="preserve">Everest took significant action against legacy U.S. casualty exposure in 2025, including an adverse-development cover. Management said in April that incoming casualty data remained consistent with expectations, but the U.S. legal environment and social inflation remain difficult.</w:t>
      </w:r>
    </w:p>
    <w:p>
      <w:pPr>
        <w:pStyle w:val="BodyText"/>
      </w:pPr>
      <w:r>
        <w:t xml:space="preserve">The Q2 reserve review is especially important because management indicated that more comprehensive actuarial studies occur during the summer.</w:t>
      </w:r>
    </w:p>
    <w:p>
      <w:pPr>
        <w:pStyle w:val="BodyText"/>
      </w:pPr>
      <w:r>
        <w:t xml:space="preserve">Watch for:</w:t>
      </w:r>
    </w:p>
    <w:p>
      <w:pPr>
        <w:pStyle w:val="Compact"/>
        <w:numPr>
          <w:ilvl w:val="0"/>
          <w:numId w:val="1006"/>
        </w:numPr>
      </w:pPr>
      <w:r>
        <w:t xml:space="preserve">Development in U.S. casualty reinsurance</w:t>
      </w:r>
    </w:p>
    <w:p>
      <w:pPr>
        <w:pStyle w:val="Compact"/>
        <w:numPr>
          <w:ilvl w:val="0"/>
          <w:numId w:val="1006"/>
        </w:numPr>
      </w:pPr>
      <w:r>
        <w:t xml:space="preserve">Development in legacy primary casualty</w:t>
      </w:r>
    </w:p>
    <w:p>
      <w:pPr>
        <w:pStyle w:val="Compact"/>
        <w:numPr>
          <w:ilvl w:val="0"/>
          <w:numId w:val="1006"/>
        </w:numPr>
      </w:pPr>
      <w:r>
        <w:t xml:space="preserve">Any use of the adverse-development cover</w:t>
      </w:r>
    </w:p>
    <w:p>
      <w:pPr>
        <w:pStyle w:val="Compact"/>
        <w:numPr>
          <w:ilvl w:val="0"/>
          <w:numId w:val="1006"/>
        </w:numPr>
      </w:pPr>
      <w:r>
        <w:t xml:space="preserve">Baltimore bridge strengthening</w:t>
      </w:r>
    </w:p>
    <w:p>
      <w:pPr>
        <w:pStyle w:val="Compact"/>
        <w:numPr>
          <w:ilvl w:val="0"/>
          <w:numId w:val="1006"/>
        </w:numPr>
      </w:pPr>
      <w:r>
        <w:t xml:space="preserve">Further favorable releases from seasoned property reserves</w:t>
      </w:r>
    </w:p>
    <w:p>
      <w:pPr>
        <w:pStyle w:val="Compact"/>
        <w:numPr>
          <w:ilvl w:val="0"/>
          <w:numId w:val="1006"/>
        </w:numPr>
      </w:pPr>
      <w:r>
        <w:t xml:space="preserve">Commentary on current accident-year casualty loss picks</w:t>
      </w:r>
    </w:p>
    <w:p>
      <w:pPr>
        <w:pStyle w:val="FirstParagraph"/>
      </w:pPr>
      <w:r>
        <w:t xml:space="preserve">The best outcome is</w:t>
      </w:r>
      <w:r>
        <w:t xml:space="preserve"> </w:t>
      </w:r>
      <w:r>
        <w:rPr>
          <w:b/>
          <w:bCs/>
        </w:rPr>
        <w:t xml:space="preserve">little or no casualty movement</w:t>
      </w:r>
      <w:r>
        <w:t xml:space="preserve">, combined with modest property reserve releases. Any adverse casualty development would overshadow an otherwise strong quarter.</w:t>
      </w:r>
    </w:p>
    <w:p>
      <w:r>
        <w:pict>
          <v:rect style="width:0;height:1.5pt" o:hralign="center" o:hrstd="t" o:hr="t"/>
        </w:pict>
      </w:r>
    </w:p>
    <w:bookmarkEnd w:id="23"/>
    <w:bookmarkStart w:id="24" w:name="Xe5b5f84680f71fbcccf549e2ebe1606b4ceadac"/>
    <w:p>
      <w:pPr>
        <w:pStyle w:val="Heading2"/>
      </w:pPr>
      <w:r>
        <w:t xml:space="preserve">5. Capital return and retail-exit proceeds</w:t>
      </w:r>
    </w:p>
    <w:p>
      <w:pPr>
        <w:pStyle w:val="FirstParagraph"/>
      </w:pPr>
      <w:r>
        <w:t xml:space="preserve">Capital management has become a central part of the equity story.</w:t>
      </w:r>
    </w:p>
    <w:p>
      <w:pPr>
        <w:pStyle w:val="BodyText"/>
      </w:pPr>
      <w:r>
        <w:t xml:space="preserve">In Q1, Everest repurchased</w:t>
      </w:r>
      <w:r>
        <w:t xml:space="preserve"> </w:t>
      </w:r>
      <w:r>
        <w:rPr>
          <w:b/>
          <w:bCs/>
        </w:rPr>
        <w:t xml:space="preserve">$331 million</w:t>
      </w:r>
      <w:r>
        <w:t xml:space="preserve"> </w:t>
      </w:r>
      <w:r>
        <w:t xml:space="preserve">of stock at an average price of $330.01. Management subsequently raised its indicated quarterly repurchase floor to $300 million and completed an additional</w:t>
      </w:r>
      <w:r>
        <w:t xml:space="preserve"> </w:t>
      </w:r>
      <m:oMath>
        <m:r>
          <m:t>100</m:t>
        </m:r>
        <m:r>
          <m:t>m</m:t>
        </m:r>
        <m:r>
          <m:t>i</m:t>
        </m:r>
        <m:r>
          <m:t>l</m:t>
        </m:r>
        <m:r>
          <m:t>l</m:t>
        </m:r>
        <m:r>
          <m:t>i</m:t>
        </m:r>
        <m:r>
          <m:t>o</m:t>
        </m:r>
        <m:r>
          <m:t>n</m:t>
        </m:r>
        <m:r>
          <m:t>o</m:t>
        </m:r>
        <m:r>
          <m:t>f</m:t>
        </m:r>
        <m:r>
          <m:t>p</m:t>
        </m:r>
        <m:r>
          <m:t>u</m:t>
        </m:r>
        <m:r>
          <m:t>r</m:t>
        </m:r>
        <m:r>
          <m:t>c</m:t>
        </m:r>
        <m:r>
          <m:t>h</m:t>
        </m:r>
        <m:r>
          <m:t>a</m:t>
        </m:r>
        <m:r>
          <m:t>s</m:t>
        </m:r>
        <m:r>
          <m:t>e</m:t>
        </m:r>
        <m:r>
          <m:t>s</m:t>
        </m:r>
        <m:r>
          <m:t>i</m:t>
        </m:r>
        <m:r>
          <m:t>n</m:t>
        </m:r>
        <m:r>
          <m:t>A</m:t>
        </m:r>
        <m:r>
          <m:t>p</m:t>
        </m:r>
        <m:r>
          <m:t>r</m:t>
        </m:r>
        <m:r>
          <m:t>i</m:t>
        </m:r>
        <m:r>
          <m:t>l</m:t>
        </m:r>
        <m:r>
          <m:rPr>
            <m:sty m:val="p"/>
          </m:rPr>
          <m:t>.</m:t>
        </m:r>
        <m:r>
          <m:t>Q</m:t>
        </m:r>
        <m:r>
          <m:t>1</m:t>
        </m:r>
        <m:r>
          <m:t>b</m:t>
        </m:r>
        <m:r>
          <m:t>o</m:t>
        </m:r>
        <m:r>
          <m:t>o</m:t>
        </m:r>
        <m:r>
          <m:t>k</m:t>
        </m:r>
        <m:r>
          <m:t>v</m:t>
        </m:r>
        <m:r>
          <m:t>a</m:t>
        </m:r>
        <m:r>
          <m:t>l</m:t>
        </m:r>
        <m:r>
          <m:t>u</m:t>
        </m:r>
        <m:r>
          <m:t>e</m:t>
        </m:r>
        <m:r>
          <m:t>e</m:t>
        </m:r>
        <m:r>
          <m:t>x</m:t>
        </m:r>
        <m:r>
          <m:t>c</m:t>
        </m:r>
        <m:r>
          <m:t>l</m:t>
        </m:r>
        <m:r>
          <m:t>u</m:t>
        </m:r>
        <m:r>
          <m:t>d</m:t>
        </m:r>
        <m:r>
          <m:t>i</m:t>
        </m:r>
        <m:r>
          <m:t>n</m:t>
        </m:r>
        <m:r>
          <m:t>g</m:t>
        </m:r>
        <m:r>
          <m:t>u</m:t>
        </m:r>
        <m:r>
          <m:t>n</m:t>
        </m:r>
        <m:r>
          <m:t>r</m:t>
        </m:r>
        <m:r>
          <m:t>e</m:t>
        </m:r>
        <m:r>
          <m:t>a</m:t>
        </m:r>
        <m:r>
          <m:t>l</m:t>
        </m:r>
        <m:r>
          <m:t>i</m:t>
        </m:r>
        <m:r>
          <m:t>z</m:t>
        </m:r>
        <m:r>
          <m:t>e</m:t>
        </m:r>
        <m:r>
          <m:t>d</m:t>
        </m:r>
        <m:r>
          <m:t>f</m:t>
        </m:r>
        <m:r>
          <m:t>i</m:t>
        </m:r>
        <m:r>
          <m:t>x</m:t>
        </m:r>
        <m:r>
          <m:t>e</m:t>
        </m:r>
        <m:r>
          <m:t>d</m:t>
        </m:r>
        <m:r>
          <m:rPr>
            <m:sty m:val="p"/>
          </m:rPr>
          <m:t>−</m:t>
        </m:r>
        <m:r>
          <m:t>i</m:t>
        </m:r>
        <m:r>
          <m:t>n</m:t>
        </m:r>
        <m:r>
          <m:t>c</m:t>
        </m:r>
        <m:r>
          <m:t>o</m:t>
        </m:r>
        <m:r>
          <m:t>m</m:t>
        </m:r>
        <m:r>
          <m:t>e</m:t>
        </m:r>
        <m:r>
          <m:t>d</m:t>
        </m:r>
        <m:r>
          <m:t>e</m:t>
        </m:r>
        <m:r>
          <m:t>p</m:t>
        </m:r>
        <m:r>
          <m:t>r</m:t>
        </m:r>
        <m:r>
          <m:t>e</m:t>
        </m:r>
        <m:r>
          <m:t>c</m:t>
        </m:r>
        <m:r>
          <m:t>i</m:t>
        </m:r>
        <m:r>
          <m:t>a</m:t>
        </m:r>
        <m:r>
          <m:t>t</m:t>
        </m:r>
        <m:r>
          <m:t>i</m:t>
        </m:r>
        <m:r>
          <m:t>o</m:t>
        </m:r>
        <m:r>
          <m:t>n</m:t>
        </m:r>
        <m:r>
          <m:t>w</m:t>
        </m:r>
        <m:r>
          <m:t>a</m:t>
        </m:r>
        <m:r>
          <m:t>s</m:t>
        </m:r>
        <m:r>
          <m:rPr>
            <m:sty m:val="p"/>
          </m:rPr>
          <m:t>*</m:t>
        </m:r>
        <m:r>
          <m:rPr>
            <m:sty m:val="p"/>
          </m:rPr>
          <m:t>*</m:t>
        </m:r>
      </m:oMath>
      <w:r>
        <w:t xml:space="preserve">393.02 per share**. (</w:t>
      </w:r>
      <w:hyperlink r:id="rId12">
        <w:r>
          <w:rPr>
            <w:rStyle w:val="Hyperlink"/>
          </w:rPr>
          <w:t xml:space="preserve">investors.everestglobal.com</w:t>
        </w:r>
      </w:hyperlink>
      <w:r>
        <w:t xml:space="preserve">)</w:t>
      </w:r>
    </w:p>
    <w:p>
      <w:pPr>
        <w:pStyle w:val="BodyText"/>
      </w:pPr>
      <w:r>
        <w:t xml:space="preserve">At the July 28 closing price of $398.74, the stock was trading at approximately</w:t>
      </w:r>
      <w:r>
        <w:t xml:space="preserve"> </w:t>
      </w:r>
      <w:r>
        <w:rPr>
          <w:b/>
          <w:bCs/>
        </w:rPr>
        <w:t xml:space="preserve">1.01 times Q1 adjusted book value</w:t>
      </w:r>
      <w:r>
        <w:t xml:space="preserve">. The buyback remains strategically meaningful, but purchases at current prices are less immediately book-value accretive than Q1’s purchases around $330.</w:t>
      </w:r>
    </w:p>
    <w:p>
      <w:pPr>
        <w:pStyle w:val="BodyText"/>
      </w:pPr>
      <w:r>
        <w:t xml:space="preserve">Key questions:</w:t>
      </w:r>
    </w:p>
    <w:p>
      <w:pPr>
        <w:pStyle w:val="Compact"/>
        <w:numPr>
          <w:ilvl w:val="0"/>
          <w:numId w:val="1007"/>
        </w:numPr>
      </w:pPr>
      <w:r>
        <w:t xml:space="preserve">Did Q2 repurchases materially exceed the $300 million floor?</w:t>
      </w:r>
    </w:p>
    <w:p>
      <w:pPr>
        <w:pStyle w:val="Compact"/>
        <w:numPr>
          <w:ilvl w:val="0"/>
          <w:numId w:val="1007"/>
        </w:numPr>
      </w:pPr>
      <w:r>
        <w:t xml:space="preserve">What was the average repurchase price?</w:t>
      </w:r>
    </w:p>
    <w:p>
      <w:pPr>
        <w:pStyle w:val="Compact"/>
        <w:numPr>
          <w:ilvl w:val="0"/>
          <w:numId w:val="1007"/>
        </w:numPr>
      </w:pPr>
      <w:r>
        <w:t xml:space="preserve">Is the $300 million quarterly floor still intact through hurricane season?</w:t>
      </w:r>
    </w:p>
    <w:p>
      <w:pPr>
        <w:pStyle w:val="Compact"/>
        <w:numPr>
          <w:ilvl w:val="0"/>
          <w:numId w:val="1007"/>
        </w:numPr>
      </w:pPr>
      <w:r>
        <w:t xml:space="preserve">When will capital released by the AIG retail transition become available?</w:t>
      </w:r>
    </w:p>
    <w:p>
      <w:pPr>
        <w:pStyle w:val="Compact"/>
        <w:numPr>
          <w:ilvl w:val="0"/>
          <w:numId w:val="1007"/>
        </w:numPr>
      </w:pPr>
      <w:r>
        <w:t xml:space="preserve">Is additional capital return expected following the Canadian retail sale?</w:t>
      </w:r>
    </w:p>
    <w:p>
      <w:pPr>
        <w:pStyle w:val="Compact"/>
        <w:numPr>
          <w:ilvl w:val="0"/>
          <w:numId w:val="1007"/>
        </w:numPr>
      </w:pPr>
      <w:r>
        <w:t xml:space="preserve">What is management’s target payout ratio for 2026?</w:t>
      </w:r>
    </w:p>
    <w:p>
      <w:pPr>
        <w:pStyle w:val="FirstParagraph"/>
      </w:pPr>
      <w:r>
        <w:t xml:space="preserve">The Canadian transaction is expected to close in the second half of 2026, subject to approvals. That makes timing and expected capital release more important than any immediate Q2 accounting effect.</w:t>
      </w:r>
    </w:p>
    <w:p>
      <w:r>
        <w:pict>
          <v:rect style="width:0;height:1.5pt" o:hralign="center" o:hrstd="t" o:hr="t"/>
        </w:pict>
      </w:r>
    </w:p>
    <w:bookmarkEnd w:id="24"/>
    <w:bookmarkStart w:id="25" w:name="X2b062572c5c9920b239d106a24f22cc69576f64"/>
    <w:p>
      <w:pPr>
        <w:pStyle w:val="Heading2"/>
      </w:pPr>
      <w:r>
        <w:t xml:space="preserve">6. Investment income and taxes</w:t>
      </w:r>
    </w:p>
    <w:p>
      <w:pPr>
        <w:pStyle w:val="FirstParagraph"/>
      </w:pPr>
      <w:r>
        <w:t xml:space="preserve">Everest’s investment portfolio remains a substantial, relatively durable earnings source, but Q1’s $567 million result included $156 million from alternative investments. Alternatives are volatile and generally reported with a lag.</w:t>
      </w:r>
    </w:p>
    <w:p>
      <w:pPr>
        <w:pStyle w:val="BodyText"/>
      </w:pPr>
      <w:r>
        <w:t xml:space="preserve">For Q2, investors should separate:</w:t>
      </w:r>
    </w:p>
    <w:p>
      <w:pPr>
        <w:pStyle w:val="Compact"/>
        <w:numPr>
          <w:ilvl w:val="0"/>
          <w:numId w:val="1008"/>
        </w:numPr>
      </w:pPr>
      <w:r>
        <w:t xml:space="preserve">Recurring fixed-income income</w:t>
      </w:r>
    </w:p>
    <w:p>
      <w:pPr>
        <w:pStyle w:val="Compact"/>
        <w:numPr>
          <w:ilvl w:val="0"/>
          <w:numId w:val="1008"/>
        </w:numPr>
      </w:pPr>
      <w:r>
        <w:t xml:space="preserve">Limited-partnership and other alternative returns</w:t>
      </w:r>
    </w:p>
    <w:p>
      <w:pPr>
        <w:pStyle w:val="Compact"/>
        <w:numPr>
          <w:ilvl w:val="0"/>
          <w:numId w:val="1008"/>
        </w:numPr>
      </w:pPr>
      <w:r>
        <w:t xml:space="preserve">Realized or unrealized investment effects</w:t>
      </w:r>
    </w:p>
    <w:p>
      <w:pPr>
        <w:pStyle w:val="Compact"/>
        <w:numPr>
          <w:ilvl w:val="0"/>
          <w:numId w:val="1008"/>
        </w:numPr>
      </w:pPr>
      <w:r>
        <w:t xml:space="preserve">Changes in invested assets due to runoff and buybacks</w:t>
      </w:r>
    </w:p>
    <w:p>
      <w:pPr>
        <w:pStyle w:val="FirstParagraph"/>
      </w:pPr>
      <w:r>
        <w:t xml:space="preserve">The fixed-income book should remain supportive, given the approximately 4.5% book yield reported in Q1. However, overall invested-asset growth may be limited by premium contraction, retail runoff and share repurchases.</w:t>
      </w:r>
    </w:p>
    <w:p>
      <w:pPr>
        <w:pStyle w:val="BodyText"/>
      </w:pPr>
      <w:r>
        <w:t xml:space="preserve">The effective tax rate should also normalize above Q1’s 11.7%, which benefited from a one-time U.K. tax item. That is one reason a lower EPS result than Q1 would not necessarily represent weaker underlying performance.</w:t>
      </w:r>
    </w:p>
    <w:p>
      <w:r>
        <w:pict>
          <v:rect style="width:0;height:1.5pt" o:hralign="center" o:hrstd="t" o:hr="t"/>
        </w:pict>
      </w:r>
    </w:p>
    <w:bookmarkEnd w:id="25"/>
    <w:bookmarkStart w:id="26" w:name="valuation-and-setup"/>
    <w:p>
      <w:pPr>
        <w:pStyle w:val="Heading2"/>
      </w:pPr>
      <w:r>
        <w:t xml:space="preserve">Valuation and setup</w:t>
      </w:r>
    </w:p>
    <w:p>
      <w:pPr>
        <w:pStyle w:val="FirstParagraph"/>
      </w:pPr>
      <w:r>
        <w:t xml:space="preserve">The stock’s setup is less forgiving than it was three months ago:</w:t>
      </w:r>
    </w:p>
    <w:p>
      <w:pPr>
        <w:pStyle w:val="Compact"/>
        <w:numPr>
          <w:ilvl w:val="0"/>
          <w:numId w:val="1009"/>
        </w:numPr>
      </w:pPr>
      <w:r>
        <w:t xml:space="preserve">July 28 close:</w:t>
      </w:r>
      <w:r>
        <w:t xml:space="preserve"> </w:t>
      </w:r>
      <w:r>
        <w:rPr>
          <w:b/>
          <w:bCs/>
        </w:rPr>
        <w:t xml:space="preserve">$398.74</w:t>
      </w:r>
    </w:p>
    <w:p>
      <w:pPr>
        <w:pStyle w:val="Compact"/>
        <w:numPr>
          <w:ilvl w:val="0"/>
          <w:numId w:val="1009"/>
        </w:numPr>
      </w:pPr>
      <w:r>
        <w:t xml:space="preserve">Q1 adjusted book value:</w:t>
      </w:r>
      <w:r>
        <w:t xml:space="preserve"> </w:t>
      </w:r>
      <w:r>
        <w:rPr>
          <w:b/>
          <w:bCs/>
        </w:rPr>
        <w:t xml:space="preserve">$393.02</w:t>
      </w:r>
    </w:p>
    <w:p>
      <w:pPr>
        <w:pStyle w:val="Compact"/>
        <w:numPr>
          <w:ilvl w:val="0"/>
          <w:numId w:val="1009"/>
        </w:numPr>
      </w:pPr>
      <w:r>
        <w:t xml:space="preserve">Approximate price-to-adjusted-book:</w:t>
      </w:r>
      <w:r>
        <w:t xml:space="preserve"> </w:t>
      </w:r>
      <w:r>
        <w:rPr>
          <w:b/>
          <w:bCs/>
        </w:rPr>
        <w:t xml:space="preserve">1.01x</w:t>
      </w:r>
    </w:p>
    <w:p>
      <w:pPr>
        <w:pStyle w:val="Compact"/>
        <w:numPr>
          <w:ilvl w:val="0"/>
          <w:numId w:val="1009"/>
        </w:numPr>
      </w:pPr>
      <w:r>
        <w:t xml:space="preserve">Gain since the April 29 Q1 report: approximately</w:t>
      </w:r>
      <w:r>
        <w:t xml:space="preserve"> </w:t>
      </w:r>
      <w:r>
        <w:rPr>
          <w:b/>
          <w:bCs/>
        </w:rPr>
        <w:t xml:space="preserve">16%</w:t>
      </w:r>
    </w:p>
    <w:p>
      <w:pPr>
        <w:pStyle w:val="FirstParagraph"/>
      </w:pPr>
      <w:r>
        <w:t xml:space="preserve">The market is now assigning value to the strategic reset and accelerated capital return. Consequently, a simple EPS beat driven by low catastrophes may not be enough to produce a strong positive reaction.</w:t>
      </w:r>
    </w:p>
    <w:p>
      <w:pPr>
        <w:pStyle w:val="BodyText"/>
      </w:pPr>
      <w:r>
        <w:t xml:space="preserve">For the stock to rerate materially above book value, Everest likely needs to demonstrate:</w:t>
      </w:r>
    </w:p>
    <w:p>
      <w:pPr>
        <w:pStyle w:val="Compact"/>
        <w:numPr>
          <w:ilvl w:val="0"/>
          <w:numId w:val="1010"/>
        </w:numPr>
      </w:pPr>
      <w:r>
        <w:t xml:space="preserve">Sustainable mid-teens operating ROE.</w:t>
      </w:r>
    </w:p>
    <w:p>
      <w:pPr>
        <w:pStyle w:val="Compact"/>
        <w:numPr>
          <w:ilvl w:val="0"/>
          <w:numId w:val="1010"/>
        </w:numPr>
      </w:pPr>
      <w:r>
        <w:t xml:space="preserve">Stable casualty reserves.</w:t>
      </w:r>
    </w:p>
    <w:p>
      <w:pPr>
        <w:pStyle w:val="Compact"/>
        <w:numPr>
          <w:ilvl w:val="0"/>
          <w:numId w:val="1010"/>
        </w:numPr>
      </w:pPr>
      <w:r>
        <w:t xml:space="preserve">A credible path to sub-95% results in Global Wholesale &amp; Specialty.</w:t>
      </w:r>
    </w:p>
    <w:p>
      <w:pPr>
        <w:pStyle w:val="Compact"/>
        <w:numPr>
          <w:ilvl w:val="0"/>
          <w:numId w:val="1010"/>
        </w:numPr>
      </w:pPr>
      <w:r>
        <w:t xml:space="preserve">Continued buybacks without weakening financial flexibility.</w:t>
      </w:r>
    </w:p>
    <w:p>
      <w:pPr>
        <w:pStyle w:val="Compact"/>
        <w:numPr>
          <w:ilvl w:val="0"/>
          <w:numId w:val="1010"/>
        </w:numPr>
      </w:pPr>
      <w:r>
        <w:t xml:space="preserve">Resilience as property-reinsurance pricing softens.</w:t>
      </w:r>
    </w:p>
    <w:p>
      <w:r>
        <w:pict>
          <v:rect style="width:0;height:1.5pt" o:hralign="center" o:hrstd="t" o:hr="t"/>
        </w:pict>
      </w:r>
    </w:p>
    <w:bookmarkEnd w:id="26"/>
    <w:bookmarkStart w:id="30" w:name="scenario-framework"/>
    <w:p>
      <w:pPr>
        <w:pStyle w:val="Heading2"/>
      </w:pPr>
      <w:r>
        <w:t xml:space="preserve">Scenario framework</w:t>
      </w:r>
    </w:p>
    <w:bookmarkStart w:id="27" w:name="bull-case"/>
    <w:p>
      <w:pPr>
        <w:pStyle w:val="Heading3"/>
      </w:pPr>
      <w:r>
        <w:t xml:space="preserve">Bull case</w:t>
      </w:r>
    </w:p>
    <w:p>
      <w:pPr>
        <w:pStyle w:val="Compact"/>
        <w:numPr>
          <w:ilvl w:val="0"/>
          <w:numId w:val="1011"/>
        </w:numPr>
      </w:pPr>
      <w:r>
        <w:t xml:space="preserve">Operating EPS comfortably exceeds $14.52.</w:t>
      </w:r>
    </w:p>
    <w:p>
      <w:pPr>
        <w:pStyle w:val="Compact"/>
        <w:numPr>
          <w:ilvl w:val="0"/>
          <w:numId w:val="1011"/>
        </w:numPr>
      </w:pPr>
      <w:r>
        <w:t xml:space="preserve">Catastrophe losses are very low.</w:t>
      </w:r>
    </w:p>
    <w:p>
      <w:pPr>
        <w:pStyle w:val="Compact"/>
        <w:numPr>
          <w:ilvl w:val="0"/>
          <w:numId w:val="1011"/>
        </w:numPr>
      </w:pPr>
      <w:r>
        <w:t xml:space="preserve">Treaty Reinsurance remains in the mid-to-high-80s combined-ratio range.</w:t>
      </w:r>
    </w:p>
    <w:p>
      <w:pPr>
        <w:pStyle w:val="Compact"/>
        <w:numPr>
          <w:ilvl w:val="0"/>
          <w:numId w:val="1011"/>
        </w:numPr>
      </w:pPr>
      <w:r>
        <w:t xml:space="preserve">Wholesale &amp; Specialty’s attritional combined ratio stays near or below 92.5%.</w:t>
      </w:r>
    </w:p>
    <w:p>
      <w:pPr>
        <w:pStyle w:val="Compact"/>
        <w:numPr>
          <w:ilvl w:val="0"/>
          <w:numId w:val="1011"/>
        </w:numPr>
      </w:pPr>
      <w:r>
        <w:t xml:space="preserve">No meaningful casualty reserve strengthening.</w:t>
      </w:r>
    </w:p>
    <w:p>
      <w:pPr>
        <w:pStyle w:val="Compact"/>
        <w:numPr>
          <w:ilvl w:val="0"/>
          <w:numId w:val="1011"/>
        </w:numPr>
      </w:pPr>
      <w:r>
        <w:t xml:space="preserve">Repurchases exceed $300 million, with positive commentary on second-half capital release.</w:t>
      </w:r>
    </w:p>
    <w:bookmarkEnd w:id="27"/>
    <w:bookmarkStart w:id="28" w:name="base-case"/>
    <w:p>
      <w:pPr>
        <w:pStyle w:val="Heading3"/>
      </w:pPr>
      <w:r>
        <w:t xml:space="preserve">Base case</w:t>
      </w:r>
    </w:p>
    <w:p>
      <w:pPr>
        <w:pStyle w:val="Compact"/>
        <w:numPr>
          <w:ilvl w:val="0"/>
          <w:numId w:val="1012"/>
        </w:numPr>
      </w:pPr>
      <w:r>
        <w:t xml:space="preserve">EPS lands around consensus.</w:t>
      </w:r>
    </w:p>
    <w:p>
      <w:pPr>
        <w:pStyle w:val="Compact"/>
        <w:numPr>
          <w:ilvl w:val="0"/>
          <w:numId w:val="1012"/>
        </w:numPr>
      </w:pPr>
      <w:r>
        <w:t xml:space="preserve">Group combined ratio is in the low 90s.</w:t>
      </w:r>
    </w:p>
    <w:p>
      <w:pPr>
        <w:pStyle w:val="Compact"/>
        <w:numPr>
          <w:ilvl w:val="0"/>
          <w:numId w:val="1012"/>
        </w:numPr>
      </w:pPr>
      <w:r>
        <w:t xml:space="preserve">Treaty premium declines due to discipline and softer property pricing.</w:t>
      </w:r>
    </w:p>
    <w:p>
      <w:pPr>
        <w:pStyle w:val="Compact"/>
        <w:numPr>
          <w:ilvl w:val="0"/>
          <w:numId w:val="1012"/>
        </w:numPr>
      </w:pPr>
      <w:r>
        <w:t xml:space="preserve">Wholesale &amp; Specialty shows gradual but not dramatic improvement.</w:t>
      </w:r>
    </w:p>
    <w:p>
      <w:pPr>
        <w:pStyle w:val="Compact"/>
        <w:numPr>
          <w:ilvl w:val="0"/>
          <w:numId w:val="1012"/>
        </w:numPr>
      </w:pPr>
      <w:r>
        <w:t xml:space="preserve">Investment income normalizes below Q1.</w:t>
      </w:r>
    </w:p>
    <w:p>
      <w:pPr>
        <w:pStyle w:val="Compact"/>
        <w:numPr>
          <w:ilvl w:val="0"/>
          <w:numId w:val="1012"/>
        </w:numPr>
      </w:pPr>
      <w:r>
        <w:t xml:space="preserve">Management reiterates the capital-return framework.</w:t>
      </w:r>
    </w:p>
    <w:bookmarkEnd w:id="28"/>
    <w:bookmarkStart w:id="29" w:name="bear-case"/>
    <w:p>
      <w:pPr>
        <w:pStyle w:val="Heading3"/>
      </w:pPr>
      <w:r>
        <w:t xml:space="preserve">Bear case</w:t>
      </w:r>
    </w:p>
    <w:p>
      <w:pPr>
        <w:pStyle w:val="Compact"/>
        <w:numPr>
          <w:ilvl w:val="0"/>
          <w:numId w:val="1013"/>
        </w:numPr>
      </w:pPr>
      <w:r>
        <w:t xml:space="preserve">Adverse casualty or Baltimore bridge development.</w:t>
      </w:r>
    </w:p>
    <w:p>
      <w:pPr>
        <w:pStyle w:val="Compact"/>
        <w:numPr>
          <w:ilvl w:val="0"/>
          <w:numId w:val="1013"/>
        </w:numPr>
      </w:pPr>
      <w:r>
        <w:t xml:space="preserve">Wholesale &amp; Specialty’s attritional improvement reverses.</w:t>
      </w:r>
    </w:p>
    <w:p>
      <w:pPr>
        <w:pStyle w:val="Compact"/>
        <w:numPr>
          <w:ilvl w:val="0"/>
          <w:numId w:val="1013"/>
        </w:numPr>
      </w:pPr>
      <w:r>
        <w:t xml:space="preserve">Midyear property pricing fell enough to pressure prospective returns.</w:t>
      </w:r>
    </w:p>
    <w:p>
      <w:pPr>
        <w:pStyle w:val="Compact"/>
        <w:numPr>
          <w:ilvl w:val="0"/>
          <w:numId w:val="1013"/>
        </w:numPr>
      </w:pPr>
      <w:r>
        <w:t xml:space="preserve">Expense drag remains elevated as earned premium contracts.</w:t>
      </w:r>
    </w:p>
    <w:p>
      <w:pPr>
        <w:pStyle w:val="Compact"/>
        <w:numPr>
          <w:ilvl w:val="0"/>
          <w:numId w:val="1013"/>
        </w:numPr>
      </w:pPr>
      <w:r>
        <w:t xml:space="preserve">Repurchases fall below expectations or management becomes more cautious on capital release.</w:t>
      </w:r>
    </w:p>
    <w:p>
      <w:r>
        <w:pict>
          <v:rect style="width:0;height:1.5pt" o:hralign="center" o:hrstd="t" o:hr="t"/>
        </w:pict>
      </w:r>
    </w:p>
    <w:bookmarkEnd w:id="29"/>
    <w:bookmarkEnd w:id="30"/>
    <w:bookmarkStart w:id="31" w:name="bottom-line"/>
    <w:p>
      <w:pPr>
        <w:pStyle w:val="Heading2"/>
      </w:pPr>
      <w:r>
        <w:t xml:space="preserve">Bottom line</w:t>
      </w:r>
    </w:p>
    <w:p>
      <w:pPr>
        <w:pStyle w:val="FirstParagraph"/>
      </w:pPr>
      <w:r>
        <w:t xml:space="preserve">The most important number will not necessarily be EPS. The report needs to show that Everest can produce attractive underwriting returns while deliberately shrinking unattractive business.</w:t>
      </w:r>
    </w:p>
    <w:p>
      <w:pPr>
        <w:pStyle w:val="BodyText"/>
      </w:pPr>
      <w:r>
        <w:t xml:space="preserve">The cleanest positive print would combine:</w:t>
      </w:r>
    </w:p>
    <w:p>
      <w:pPr>
        <w:pStyle w:val="Compact"/>
        <w:numPr>
          <w:ilvl w:val="0"/>
          <w:numId w:val="1014"/>
        </w:numPr>
      </w:pPr>
      <w:r>
        <w:t xml:space="preserve">A benign catastrophe result</w:t>
      </w:r>
    </w:p>
    <w:p>
      <w:pPr>
        <w:pStyle w:val="Compact"/>
        <w:numPr>
          <w:ilvl w:val="0"/>
          <w:numId w:val="1014"/>
        </w:numPr>
      </w:pPr>
      <w:r>
        <w:t xml:space="preserve">Treaty attritional margins near Q1 levels</w:t>
      </w:r>
    </w:p>
    <w:p>
      <w:pPr>
        <w:pStyle w:val="Compact"/>
        <w:numPr>
          <w:ilvl w:val="0"/>
          <w:numId w:val="1014"/>
        </w:numPr>
      </w:pPr>
      <w:r>
        <w:t xml:space="preserve">Continued improvement in Global Wholesale &amp; Specialty</w:t>
      </w:r>
    </w:p>
    <w:p>
      <w:pPr>
        <w:pStyle w:val="Compact"/>
        <w:numPr>
          <w:ilvl w:val="0"/>
          <w:numId w:val="1014"/>
        </w:numPr>
      </w:pPr>
      <w:r>
        <w:t xml:space="preserve">Stable casualty reserves</w:t>
      </w:r>
    </w:p>
    <w:p>
      <w:pPr>
        <w:pStyle w:val="Compact"/>
        <w:numPr>
          <w:ilvl w:val="0"/>
          <w:numId w:val="1014"/>
        </w:numPr>
      </w:pPr>
      <w:r>
        <w:t xml:space="preserve">At least $300 million of repurchases</w:t>
      </w:r>
    </w:p>
    <w:p>
      <w:pPr>
        <w:pStyle w:val="Compact"/>
        <w:numPr>
          <w:ilvl w:val="0"/>
          <w:numId w:val="1014"/>
        </w:numPr>
      </w:pPr>
      <w:r>
        <w:t xml:space="preserve">Concrete guidance on second-half capital release</w:t>
      </w:r>
    </w:p>
    <w:p>
      <w:pPr>
        <w:pStyle w:val="FirstParagraph"/>
      </w:pPr>
      <w:r>
        <w:t xml:space="preserve">With the shares now near adjusted book value, the bar has moved higher.</w:t>
      </w:r>
      <w:r>
        <w:t xml:space="preserve"> </w:t>
      </w:r>
      <w:r>
        <w:rPr>
          <w:b/>
          <w:bCs/>
        </w:rPr>
        <w:t xml:space="preserve">A low-cat EPS beat is likely already partly anticipated; durable underwriting improvement and capital-return visibility are what could create additional upside.</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everestglobal.com/news/news-details/2026/Everest-Group-to-Hold-Second-Quarter-2026-Earnings-Conference-Call-on-Thursday-July-30-2026/default.aspx" TargetMode="External" /><Relationship Type="http://schemas.openxmlformats.org/officeDocument/2006/relationships/hyperlink" Id="rId12" Target="https://investors.everestglobal.com/news/news-details/2026/Everest-Reports-First-Quarter-2026-Results/default.aspx" TargetMode="External" /><Relationship Type="http://schemas.openxmlformats.org/officeDocument/2006/relationships/hyperlink" Id="rId14" Target="https://www.ajg.com/gallagherre/news-and-insights/first-view-a-moment-for-creativity/" TargetMode="External" /><Relationship Type="http://schemas.openxmlformats.org/officeDocument/2006/relationships/hyperlink" Id="rId11" Target="https://www.marketbeat.com/earnings/reports/2026-7-29-eg-stock/" TargetMode="External" /><Relationship Type="http://schemas.openxmlformats.org/officeDocument/2006/relationships/hyperlink" Id="rId18" Target="https://www.munichre.com/en/company/investors/mandatory-announcements/ad-hoc-announcements/2026-07-24-ad-hoc.html" TargetMode="External" /><Relationship Type="http://schemas.openxmlformats.org/officeDocument/2006/relationships/hyperlink" Id="rId15" Target="https://www.theinsurer.com/ti/news/florida-reinsurance-rates-down-15-to-20-at-june-renewals-guy-carpenter-2026-05-28/?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everestglobal.com/news/news-details/2026/Everest-Group-to-Hold-Second-Quarter-2026-Earnings-Conference-Call-on-Thursday-July-30-2026/default.aspx" TargetMode="External" /><Relationship Type="http://schemas.openxmlformats.org/officeDocument/2006/relationships/hyperlink" Id="rId12" Target="https://investors.everestglobal.com/news/news-details/2026/Everest-Reports-First-Quarter-2026-Results/default.aspx" TargetMode="External" /><Relationship Type="http://schemas.openxmlformats.org/officeDocument/2006/relationships/hyperlink" Id="rId14" Target="https://www.ajg.com/gallagherre/news-and-insights/first-view-a-moment-for-creativity/" TargetMode="External" /><Relationship Type="http://schemas.openxmlformats.org/officeDocument/2006/relationships/hyperlink" Id="rId11" Target="https://www.marketbeat.com/earnings/reports/2026-7-29-eg-stock/" TargetMode="External" /><Relationship Type="http://schemas.openxmlformats.org/officeDocument/2006/relationships/hyperlink" Id="rId18" Target="https://www.munichre.com/en/company/investors/mandatory-announcements/ad-hoc-announcements/2026-07-24-ad-hoc.html" TargetMode="External" /><Relationship Type="http://schemas.openxmlformats.org/officeDocument/2006/relationships/hyperlink" Id="rId15" Target="https://www.theinsurer.com/ti/news/florida-reinsurance-rates-down-15-to-20-at-june-renewals-guy-carpenter-2026-05-28/?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2026-07-29T01:57:09Z</dcterms:created>
  <dcterms:modified xsi:type="dcterms:W3CDTF">2026-07-29T01:57:09Z</dcterms:modified>
</cp:coreProperties>
</file>

<file path=docProps/custom.xml><?xml version="1.0" encoding="utf-8"?>
<Properties xmlns="http://schemas.openxmlformats.org/officeDocument/2006/custom-properties" xmlns:vt="http://schemas.openxmlformats.org/officeDocument/2006/docPropsVTypes"/>
</file>