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1" w:name="Xa037bdf530c981e33debc1b15e426ceb6ad027a"/>
    <w:p>
      <w:pPr>
        <w:pStyle w:val="Heading1"/>
      </w:pPr>
      <w:r>
        <w:t xml:space="preserve">Everest Group (NYSE: EG) — 2Q26 Earnings Preview</w:t>
      </w:r>
    </w:p>
    <w:p>
      <w:pPr>
        <w:pStyle w:val="BlockText"/>
      </w:pPr>
      <w:r>
        <w:rPr>
          <w:b/>
          <w:bCs/>
        </w:rPr>
        <w:t xml:space="preserve">Timing note:</w:t>
      </w:r>
      <w:r>
        <w:t xml:space="preserve"> </w:t>
      </w:r>
      <w:r>
        <w:t xml:space="preserve">The stated event date is</w:t>
      </w:r>
      <w:r>
        <w:t xml:space="preserve"> </w:t>
      </w:r>
      <w:r>
        <w:rPr>
          <w:b/>
          <w:bCs/>
        </w:rPr>
        <w:t xml:space="preserve">Wednesday, July 29, 2026</w:t>
      </w:r>
      <w:r>
        <w:t xml:space="preserve">—which is</w:t>
      </w:r>
      <w:r>
        <w:t xml:space="preserve"> </w:t>
      </w:r>
      <w:r>
        <w:rPr>
          <w:b/>
          <w:bCs/>
        </w:rPr>
        <w:t xml:space="preserve">today</w:t>
      </w:r>
      <w:r>
        <w:t xml:space="preserve">, not tomorrow. This preview is therefore framed for results expected after the market close and the subsequent earnings call.</w:t>
      </w:r>
    </w:p>
    <w:bookmarkStart w:id="9" w:name="investment-view-the-bar-has-moved-higher"/>
    <w:p>
      <w:pPr>
        <w:pStyle w:val="Heading2"/>
      </w:pPr>
      <w:r>
        <w:t xml:space="preserve">Investment view: the bar has moved higher</w:t>
      </w:r>
    </w:p>
    <w:p>
      <w:pPr>
        <w:pStyle w:val="FirstParagraph"/>
      </w:pPr>
      <w:r>
        <w:t xml:space="preserve">Everest enters 2Q26 with a much cleaner strategic narrative than a year ago: a reinsurance-led underwriting franchise, a shrinking retail/legacy drag, strong investment income, and an increasingly explicit capital-return program. The key question is no longer whether management is fixing the portfolio—it is whether the company can sustain high-teens operating ROE while property-cat pricing softens and the Global Wholesale &amp; Specialty business absorbs transition costs.</w:t>
      </w:r>
    </w:p>
    <w:p>
      <w:pPr>
        <w:pStyle w:val="BodyText"/>
      </w:pPr>
      <w:r>
        <w:t xml:space="preserve">The stock closed at</w:t>
      </w:r>
      <w:r>
        <w:t xml:space="preserve"> </w:t>
      </w:r>
      <w:r>
        <w:rPr>
          <w:b/>
          <w:bCs/>
        </w:rPr>
        <w:t xml:space="preserve">$398.74 on July 28</w:t>
      </w:r>
      <w:r>
        <w:t xml:space="preserve">, up roughly</w:t>
      </w:r>
      <w:r>
        <w:t xml:space="preserve"> </w:t>
      </w:r>
      <w:r>
        <w:rPr>
          <w:b/>
          <w:bCs/>
        </w:rPr>
        <w:t xml:space="preserve">12% since the 1Q26 earnings call</w:t>
      </w:r>
      <w:r>
        <w:t xml:space="preserve"> </w:t>
      </w:r>
      <w:r>
        <w:t xml:space="preserve">and about</w:t>
      </w:r>
      <w:r>
        <w:t xml:space="preserve"> </w:t>
      </w:r>
      <w:r>
        <w:rPr>
          <w:b/>
          <w:bCs/>
        </w:rPr>
        <w:t xml:space="preserve">23% from its early-June low</w:t>
      </w:r>
      <w:r>
        <w:t xml:space="preserve">. That recovery raises the importance of a clean print, confirmation that reserve margins remain intact, and credible commentary on 6/1 renewals and buybacks.</w:t>
      </w:r>
    </w:p>
    <w:bookmarkEnd w:id="9"/>
    <w:bookmarkStart w:id="16" w:name="what-matters-most-this-quarter"/>
    <w:p>
      <w:pPr>
        <w:pStyle w:val="Heading2"/>
      </w:pPr>
      <w:r>
        <w:t xml:space="preserve">What matters most this quarter</w:t>
      </w:r>
    </w:p>
    <w:bookmarkStart w:id="10" w:name="X4af198b65bba466a9769b9c96b4dbe6b1d66d80"/>
    <w:p>
      <w:pPr>
        <w:pStyle w:val="Heading3"/>
      </w:pPr>
      <w:r>
        <w:t xml:space="preserve">1. Underwriting quality—not just headline EPS</w:t>
      </w:r>
    </w:p>
    <w:p>
      <w:pPr>
        <w:pStyle w:val="FirstParagraph"/>
      </w:pPr>
      <w:r>
        <w:t xml:space="preserve">In 1Q26, Everest reported</w:t>
      </w:r>
      <w:r>
        <w:t xml:space="preserve"> </w:t>
      </w:r>
      <m:oMath>
        <m:r>
          <m:t>648</m:t>
        </m:r>
        <m:r>
          <m:t>m</m:t>
        </m:r>
        <m:r>
          <m:t>i</m:t>
        </m:r>
        <m:r>
          <m:t>l</m:t>
        </m:r>
        <m:r>
          <m:t>l</m:t>
        </m:r>
        <m:r>
          <m:t>i</m:t>
        </m:r>
        <m:r>
          <m:t>o</m:t>
        </m:r>
        <m:r>
          <m:t>n</m:t>
        </m:r>
        <m:r>
          <m:t>o</m:t>
        </m:r>
        <m:r>
          <m:t>f</m:t>
        </m:r>
        <m:r>
          <m:t>o</m:t>
        </m:r>
        <m:r>
          <m:t>p</m:t>
        </m:r>
        <m:r>
          <m:t>e</m:t>
        </m:r>
        <m:r>
          <m:t>r</m:t>
        </m:r>
        <m:r>
          <m:t>a</m:t>
        </m:r>
        <m:r>
          <m:t>t</m:t>
        </m:r>
        <m:r>
          <m:t>i</m:t>
        </m:r>
        <m:r>
          <m:t>n</m:t>
        </m:r>
        <m:r>
          <m:t>g</m:t>
        </m:r>
        <m:r>
          <m:t>i</m:t>
        </m:r>
        <m:r>
          <m:t>n</m:t>
        </m:r>
        <m:r>
          <m:t>c</m:t>
        </m:r>
        <m:r>
          <m:t>o</m:t>
        </m:r>
        <m:r>
          <m:t>m</m:t>
        </m:r>
        <m:r>
          <m:t>e</m:t>
        </m:r>
        <m:r>
          <m:rPr>
            <m:sty m:val="p"/>
          </m:rPr>
          <m:t>(</m:t>
        </m:r>
      </m:oMath>
      <w:r>
        <w:rPr>
          <w:b/>
          <w:bCs/>
        </w:rPr>
        <w:t xml:space="preserve">16.08 per share)</w:t>
      </w:r>
      <w:r>
        <w:t xml:space="preserve">, a</w:t>
      </w:r>
      <w:r>
        <w:t xml:space="preserve"> </w:t>
      </w:r>
      <w:r>
        <w:rPr>
          <w:b/>
          <w:bCs/>
        </w:rPr>
        <w:t xml:space="preserve">91.2% group combined ratio</w:t>
      </w:r>
      <w:r>
        <w:t xml:space="preserve">, and</w:t>
      </w:r>
      <w:r>
        <w:t xml:space="preserve"> </w:t>
      </w:r>
      <w:r>
        <w:rPr>
          <w:b/>
          <w:bCs/>
        </w:rPr>
        <w:t xml:space="preserve">$316 million of underwriting income</w:t>
      </w:r>
      <w:r>
        <w:t xml:space="preserve">. The quarter benefited from relatively manageable catastrophe losses and favorable prior-year development, but underlying results were also better: the attritional combined ratio improved to</w:t>
      </w:r>
      <w:r>
        <w:t xml:space="preserve"> </w:t>
      </w:r>
      <w:r>
        <w:rPr>
          <w:b/>
          <w:bCs/>
        </w:rPr>
        <w:t xml:space="preserve">88.5%</w:t>
      </w:r>
      <w:r>
        <w:t xml:space="preserve">.</w:t>
      </w:r>
    </w:p>
    <w:p>
      <w:pPr>
        <w:pStyle w:val="BodyText"/>
      </w:pPr>
      <w:r>
        <w:t xml:space="preserve">For 2Q26, investors should focus on: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Group combined ratio and attritional combined ratio</w:t>
      </w:r>
    </w:p>
    <w:p>
      <w:pPr>
        <w:pStyle w:val="Compact"/>
        <w:numPr>
          <w:ilvl w:val="0"/>
          <w:numId w:val="1001"/>
        </w:numPr>
      </w:pPr>
      <w:r>
        <w:t xml:space="preserve">The split between</w:t>
      </w:r>
      <w:r>
        <w:t xml:space="preserve"> </w:t>
      </w:r>
      <w:r>
        <w:rPr>
          <w:b/>
          <w:bCs/>
        </w:rPr>
        <w:t xml:space="preserve">Reinsurance Treaty</w:t>
      </w:r>
      <w:r>
        <w:t xml:space="preserve"> </w:t>
      </w:r>
      <w:r>
        <w:t xml:space="preserve">and</w:t>
      </w:r>
      <w:r>
        <w:t xml:space="preserve"> </w:t>
      </w:r>
      <w:r>
        <w:rPr>
          <w:b/>
          <w:bCs/>
        </w:rPr>
        <w:t xml:space="preserve">Global Wholesale &amp; Specialty</w:t>
      </w:r>
    </w:p>
    <w:p>
      <w:pPr>
        <w:pStyle w:val="Compact"/>
        <w:numPr>
          <w:ilvl w:val="0"/>
          <w:numId w:val="1001"/>
        </w:numPr>
      </w:pPr>
      <w:r>
        <w:t xml:space="preserve">Current-year loss picks, especially in U.S. casualty</w:t>
      </w:r>
    </w:p>
    <w:p>
      <w:pPr>
        <w:pStyle w:val="Compact"/>
        <w:numPr>
          <w:ilvl w:val="0"/>
          <w:numId w:val="1001"/>
        </w:numPr>
      </w:pPr>
      <w:r>
        <w:t xml:space="preserve">Catastrophe losses and any new geopolitical or specialty-loss reserve actions</w:t>
      </w:r>
    </w:p>
    <w:p>
      <w:pPr>
        <w:pStyle w:val="Compact"/>
        <w:numPr>
          <w:ilvl w:val="0"/>
          <w:numId w:val="1001"/>
        </w:numPr>
      </w:pPr>
      <w:r>
        <w:t xml:space="preserve">The amount and source of prior-year reserve development</w:t>
      </w:r>
    </w:p>
    <w:p>
      <w:pPr>
        <w:pStyle w:val="FirstParagraph"/>
      </w:pPr>
      <w:r>
        <w:t xml:space="preserve">The comparison is not easy. In</w:t>
      </w:r>
      <w:r>
        <w:t xml:space="preserve"> </w:t>
      </w:r>
      <w:r>
        <w:rPr>
          <w:b/>
          <w:bCs/>
        </w:rPr>
        <w:t xml:space="preserve">2Q25</w:t>
      </w:r>
      <w:r>
        <w:t xml:space="preserve">, Everest posted</w:t>
      </w:r>
      <w:r>
        <w:t xml:space="preserve"> </w:t>
      </w:r>
      <m:oMath>
        <m:r>
          <m:t>17.36</m:t>
        </m:r>
        <m:r>
          <m:t>o</m:t>
        </m:r>
        <m:r>
          <m:t>p</m:t>
        </m:r>
        <m:r>
          <m:t>e</m:t>
        </m:r>
        <m:r>
          <m:t>r</m:t>
        </m:r>
        <m:r>
          <m:t>a</m:t>
        </m:r>
        <m:r>
          <m:t>t</m:t>
        </m:r>
        <m:r>
          <m:t>i</m:t>
        </m:r>
        <m:r>
          <m:t>n</m:t>
        </m:r>
        <m:r>
          <m:t>g</m:t>
        </m:r>
        <m:r>
          <m:t>E</m:t>
        </m:r>
        <m:r>
          <m:t>P</m:t>
        </m:r>
        <m:r>
          <m:t>S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rPr>
            <m:sty m:val="p"/>
          </m:rPr>
          <m:t>,</m:t>
        </m:r>
        <m:r>
          <m:t>a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90.4</m:t>
        </m:r>
      </m:oMath>
      <w:r>
        <w:rPr>
          <w:b/>
          <w:bCs/>
        </w:rPr>
        <w:t xml:space="preserve">385 million of underwriting income</w:t>
      </w:r>
      <w:r>
        <w:t xml:space="preserve">. That quarter included a</w:t>
      </w:r>
      <w:r>
        <w:t xml:space="preserve"> </w:t>
      </w:r>
      <m:oMath>
        <m:r>
          <m:t>98</m:t>
        </m:r>
        <m:r>
          <m:t>m</m:t>
        </m:r>
        <m:r>
          <m:t>i</m:t>
        </m:r>
        <m:r>
          <m:t>l</m:t>
        </m:r>
        <m:r>
          <m:t>l</m:t>
        </m:r>
        <m:r>
          <m:t>i</m:t>
        </m:r>
        <m:r>
          <m:t>o</m:t>
        </m:r>
        <m:r>
          <m:t>n</m:t>
        </m:r>
        <m:r>
          <m:t>R</m:t>
        </m:r>
        <m:r>
          <m:t>u</m:t>
        </m:r>
        <m:r>
          <m:t>s</m:t>
        </m:r>
        <m:r>
          <m:t>s</m:t>
        </m:r>
        <m:r>
          <m:t>i</m:t>
        </m:r>
        <m:r>
          <m:t>a</m:t>
        </m:r>
        <m:r>
          <m:rPr>
            <m:sty m:val="p"/>
          </m:rPr>
          <m:t>/</m:t>
        </m:r>
        <m:r>
          <m:t>U</m:t>
        </m:r>
        <m:r>
          <m:t>k</m:t>
        </m:r>
        <m:r>
          <m:t>r</m:t>
        </m:r>
        <m:r>
          <m:t>a</m:t>
        </m:r>
        <m:r>
          <m:t>i</m:t>
        </m:r>
        <m:r>
          <m:t>n</m:t>
        </m:r>
        <m:r>
          <m:t>e</m:t>
        </m:r>
        <m:r>
          <m:rPr>
            <m:sty m:val="p"/>
          </m:rPr>
          <m:t>−</m:t>
        </m:r>
        <m:r>
          <m:t>r</m:t>
        </m:r>
        <m:r>
          <m:t>e</m:t>
        </m:r>
        <m:r>
          <m:t>l</m:t>
        </m:r>
        <m:r>
          <m:t>a</m:t>
        </m:r>
        <m:r>
          <m:t>t</m:t>
        </m:r>
        <m:r>
          <m:t>e</m:t>
        </m:r>
        <m:r>
          <m:t>d</m:t>
        </m:r>
        <m:r>
          <m:t>a</m:t>
        </m:r>
        <m:r>
          <m:t>v</m:t>
        </m:r>
        <m:r>
          <m:t>i</m:t>
        </m:r>
        <m:r>
          <m:t>a</m:t>
        </m:r>
        <m:r>
          <m:t>t</m:t>
        </m:r>
        <m:r>
          <m:t>i</m:t>
        </m:r>
        <m:r>
          <m:t>o</m:t>
        </m:r>
        <m:r>
          <m:t>n</m:t>
        </m:r>
        <m:r>
          <m:t>l</m:t>
        </m:r>
        <m:r>
          <m:t>o</m:t>
        </m:r>
        <m:r>
          <m:t>s</m:t>
        </m:r>
        <m:r>
          <m:t>s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rPr>
            <m:sty m:val="p"/>
          </m:rPr>
          <m:t>,</m:t>
        </m:r>
        <m:r>
          <m:t>w</m:t>
        </m:r>
        <m:r>
          <m:t>h</m:t>
        </m:r>
        <m:r>
          <m:t>i</m:t>
        </m:r>
        <m:r>
          <m:t>l</m:t>
        </m:r>
        <m:r>
          <m:t>e</m:t>
        </m:r>
        <m:r>
          <m:t>r</m:t>
        </m:r>
        <m:r>
          <m:t>e</m:t>
        </m:r>
        <m:r>
          <m:t>p</m:t>
        </m:r>
        <m:r>
          <m:t>o</m:t>
        </m:r>
        <m:r>
          <m:t>r</m:t>
        </m:r>
        <m:r>
          <m:t>t</m:t>
        </m:r>
        <m:r>
          <m:t>e</m:t>
        </m:r>
        <m:r>
          <m:t>d</m:t>
        </m:r>
        <m:r>
          <m:t>c</m:t>
        </m:r>
        <m:r>
          <m:t>a</m:t>
        </m:r>
        <m:r>
          <m:t>t</m:t>
        </m:r>
        <m:r>
          <m:t>a</m:t>
        </m:r>
        <m:r>
          <m:t>s</m:t>
        </m:r>
        <m:r>
          <m:t>t</m:t>
        </m:r>
        <m:r>
          <m:t>r</m:t>
        </m:r>
        <m:r>
          <m:t>o</m:t>
        </m:r>
        <m:r>
          <m:t>p</m:t>
        </m:r>
        <m:r>
          <m:t>h</m:t>
        </m:r>
        <m:r>
          <m:t>e</m:t>
        </m:r>
        <m:r>
          <m:t>l</m:t>
        </m:r>
        <m:r>
          <m:t>o</m:t>
        </m:r>
        <m:r>
          <m:t>s</m:t>
        </m:r>
        <m:r>
          <m:t>s</m:t>
        </m:r>
        <m:r>
          <m:t>e</m:t>
        </m:r>
        <m:r>
          <m:t>s</m:t>
        </m:r>
        <m:r>
          <m:t>w</m:t>
        </m:r>
        <m:r>
          <m:t>e</m:t>
        </m:r>
        <m:r>
          <m:t>r</m:t>
        </m:r>
        <m:r>
          <m:t>e</m:t>
        </m:r>
        <m:r>
          <m:t>o</m:t>
        </m:r>
        <m:r>
          <m:t>n</m:t>
        </m:r>
        <m:r>
          <m:t>l</m:t>
        </m:r>
        <m:r>
          <m:t>y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rPr>
          <w:b/>
          <w:bCs/>
        </w:rPr>
        <w:t xml:space="preserve">20 million</w:t>
      </w:r>
      <w:r>
        <w:t xml:space="preserve">. A clean 2Q26 may therefore look solid operationally even if reported earnings do not exceed the unusually strong prior-year operating EPS result.</w:t>
      </w:r>
    </w:p>
    <w:bookmarkEnd w:id="10"/>
    <w:bookmarkStart w:id="11" w:name="X662367c156ea46921e90d0c4868cacd02c1d20a"/>
    <w:p>
      <w:pPr>
        <w:pStyle w:val="Heading3"/>
      </w:pPr>
      <w:r>
        <w:t xml:space="preserve">2. Reinsurance Treaty: can discipline offset lower pricing?</w:t>
      </w:r>
    </w:p>
    <w:p>
      <w:pPr>
        <w:pStyle w:val="FirstParagraph"/>
      </w:pPr>
      <w:r>
        <w:t xml:space="preserve">Reinsurance Treaty is the core earnings engine. In 1Q26 it produced: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$315 million</w:t>
      </w:r>
      <w:r>
        <w:t xml:space="preserve"> </w:t>
      </w:r>
      <w:r>
        <w:t xml:space="preserve">of underwriting income</w:t>
      </w:r>
    </w:p>
    <w:p>
      <w:pPr>
        <w:pStyle w:val="Compact"/>
        <w:numPr>
          <w:ilvl w:val="0"/>
          <w:numId w:val="1002"/>
        </w:numPr>
      </w:pPr>
      <w:r>
        <w:t xml:space="preserve">An</w:t>
      </w:r>
      <w:r>
        <w:t xml:space="preserve"> </w:t>
      </w:r>
      <w:r>
        <w:rPr>
          <w:b/>
          <w:bCs/>
        </w:rPr>
        <w:t xml:space="preserve">87.2% combined ratio</w:t>
      </w:r>
    </w:p>
    <w:p>
      <w:pPr>
        <w:pStyle w:val="Compact"/>
        <w:numPr>
          <w:ilvl w:val="0"/>
          <w:numId w:val="1002"/>
        </w:numPr>
      </w:pPr>
      <w:r>
        <w:t xml:space="preserve">An</w:t>
      </w:r>
      <w:r>
        <w:t xml:space="preserve"> </w:t>
      </w:r>
      <w:r>
        <w:rPr>
          <w:b/>
          <w:bCs/>
        </w:rPr>
        <w:t xml:space="preserve">85.0% attritional combined ratio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$33 million</w:t>
      </w:r>
      <w:r>
        <w:t xml:space="preserve"> </w:t>
      </w:r>
      <w:r>
        <w:t xml:space="preserve">of favorable prior-year development, largely from seasoned property reserves</w:t>
      </w:r>
    </w:p>
    <w:p>
      <w:pPr>
        <w:pStyle w:val="FirstParagraph"/>
      </w:pPr>
      <w:r>
        <w:t xml:space="preserve">The complication is pricing. Management said global property-cat rates were down about</w:t>
      </w:r>
      <w:r>
        <w:t xml:space="preserve"> </w:t>
      </w:r>
      <w:r>
        <w:rPr>
          <w:b/>
          <w:bCs/>
        </w:rPr>
        <w:t xml:space="preserve">13% at April 1</w:t>
      </w:r>
      <w:r>
        <w:t xml:space="preserve">, with terms, attachment points, and structural protections generally holding. For the June 1 Florida renewals, management expected price reductions potentially in the</w:t>
      </w:r>
      <w:r>
        <w:t xml:space="preserve"> </w:t>
      </w:r>
      <w:r>
        <w:rPr>
          <w:b/>
          <w:bCs/>
        </w:rPr>
        <w:t xml:space="preserve">mid-teens</w:t>
      </w:r>
      <w:r>
        <w:t xml:space="preserve">, but also described demand as healthy and terms as favorable—particularly because more than 80% of Everest’s Florida deals were said to be non-concurrent.</w:t>
      </w:r>
    </w:p>
    <w:p>
      <w:pPr>
        <w:pStyle w:val="BodyText"/>
      </w:pPr>
      <w:r>
        <w:rPr>
          <w:b/>
          <w:bCs/>
        </w:rPr>
        <w:t xml:space="preserve">What investors need to hear:</w:t>
      </w:r>
    </w:p>
    <w:p>
      <w:pPr>
        <w:pStyle w:val="Compact"/>
        <w:numPr>
          <w:ilvl w:val="0"/>
          <w:numId w:val="1003"/>
        </w:numPr>
      </w:pPr>
      <w:r>
        <w:t xml:space="preserve">Did Everest preserve underwriting return hurdles despite declining rates?</w:t>
      </w:r>
    </w:p>
    <w:p>
      <w:pPr>
        <w:pStyle w:val="Compact"/>
        <w:numPr>
          <w:ilvl w:val="0"/>
          <w:numId w:val="1003"/>
        </w:numPr>
      </w:pPr>
      <w:r>
        <w:t xml:space="preserve">Did the company reduce capacity meaningfully in lower-return deals, or maintain its preferred positions with select cedants?</w:t>
      </w:r>
    </w:p>
    <w:p>
      <w:pPr>
        <w:pStyle w:val="Compact"/>
        <w:numPr>
          <w:ilvl w:val="0"/>
          <w:numId w:val="1003"/>
        </w:numPr>
      </w:pPr>
      <w:r>
        <w:t xml:space="preserve">How did Florida renewal premiums, rate, limits, and attachments compare with initial expectations?</w:t>
      </w:r>
    </w:p>
    <w:p>
      <w:pPr>
        <w:pStyle w:val="Compact"/>
        <w:numPr>
          <w:ilvl w:val="0"/>
          <w:numId w:val="1003"/>
        </w:numPr>
      </w:pPr>
      <w:r>
        <w:t xml:space="preserve">Is the company still seeing attractive opportunities in property and specialty that justify shifting the mix away from casualty?</w:t>
      </w:r>
    </w:p>
    <w:p>
      <w:pPr>
        <w:pStyle w:val="FirstParagraph"/>
      </w:pPr>
      <w:r>
        <w:t xml:space="preserve">A disciplined reduction in written premium should not be interpreted negatively if management can demonstrate that it protects margins and capital efficiency.</w:t>
      </w:r>
    </w:p>
    <w:bookmarkEnd w:id="11"/>
    <w:bookmarkStart w:id="12" w:name="Xc2b6d542e124a7cd194c4659b00c82bd541fb58"/>
    <w:p>
      <w:pPr>
        <w:pStyle w:val="Heading3"/>
      </w:pPr>
      <w:r>
        <w:t xml:space="preserve">3. Global Wholesale &amp; Specialty remains the proof point</w:t>
      </w:r>
    </w:p>
    <w:p>
      <w:pPr>
        <w:pStyle w:val="FirstParagraph"/>
      </w:pPr>
      <w:r>
        <w:t xml:space="preserve">The repositioned Global Wholesale &amp; Specialty segment is improving, but it remains the part of the story that requires execution. In 1Q26:</w:t>
      </w:r>
    </w:p>
    <w:p>
      <w:pPr>
        <w:pStyle w:val="Compact"/>
        <w:numPr>
          <w:ilvl w:val="0"/>
          <w:numId w:val="1004"/>
        </w:numPr>
      </w:pPr>
      <w:r>
        <w:t xml:space="preserve">Gross written premium grew</w:t>
      </w:r>
      <w:r>
        <w:t xml:space="preserve"> </w:t>
      </w:r>
      <w:r>
        <w:rPr>
          <w:b/>
          <w:bCs/>
        </w:rPr>
        <w:t xml:space="preserve">1.6%</w:t>
      </w:r>
      <w:r>
        <w:t xml:space="preserve"> </w:t>
      </w:r>
      <w:r>
        <w:t xml:space="preserve">on a comparable basis.</w:t>
      </w:r>
    </w:p>
    <w:p>
      <w:pPr>
        <w:pStyle w:val="Compact"/>
        <w:numPr>
          <w:ilvl w:val="0"/>
          <w:numId w:val="1004"/>
        </w:numPr>
      </w:pPr>
      <w:r>
        <w:t xml:space="preserve">Attritional loss ratio improved</w:t>
      </w:r>
      <w:r>
        <w:t xml:space="preserve"> </w:t>
      </w:r>
      <w:r>
        <w:rPr>
          <w:b/>
          <w:bCs/>
        </w:rPr>
        <w:t xml:space="preserve">3.8 points</w:t>
      </w:r>
      <w:r>
        <w:t xml:space="preserve"> </w:t>
      </w:r>
      <w:r>
        <w:t xml:space="preserve">to</w:t>
      </w:r>
      <w:r>
        <w:t xml:space="preserve"> </w:t>
      </w:r>
      <w:r>
        <w:rPr>
          <w:b/>
          <w:bCs/>
        </w:rPr>
        <w:t xml:space="preserve">58.9%</w:t>
      </w:r>
      <w:r>
        <w:t xml:space="preserve">.</w:t>
      </w:r>
    </w:p>
    <w:p>
      <w:pPr>
        <w:pStyle w:val="Compact"/>
        <w:numPr>
          <w:ilvl w:val="0"/>
          <w:numId w:val="1004"/>
        </w:numPr>
      </w:pPr>
      <w:r>
        <w:t xml:space="preserve">Yet the total combined ratio was still</w:t>
      </w:r>
      <w:r>
        <w:t xml:space="preserve"> </w:t>
      </w:r>
      <w:r>
        <w:rPr>
          <w:b/>
          <w:bCs/>
        </w:rPr>
        <w:t xml:space="preserve">96.8%</w:t>
      </w:r>
      <w:r>
        <w:t xml:space="preserve">.</w:t>
      </w:r>
    </w:p>
    <w:p>
      <w:pPr>
        <w:pStyle w:val="Compact"/>
        <w:numPr>
          <w:ilvl w:val="0"/>
          <w:numId w:val="1004"/>
        </w:numPr>
      </w:pPr>
      <w:r>
        <w:t xml:space="preserve">The expense ratio remained elevated, with other underwriting expenses at</w:t>
      </w:r>
      <w:r>
        <w:t xml:space="preserve"> </w:t>
      </w:r>
      <w:r>
        <w:rPr>
          <w:b/>
          <w:bCs/>
        </w:rPr>
        <w:t xml:space="preserve">12.6%</w:t>
      </w:r>
      <w:r>
        <w:t xml:space="preserve"> </w:t>
      </w:r>
      <w:r>
        <w:t xml:space="preserve">and total expense ratio at</w:t>
      </w:r>
      <w:r>
        <w:t xml:space="preserve"> </w:t>
      </w:r>
      <w:r>
        <w:rPr>
          <w:b/>
          <w:bCs/>
        </w:rPr>
        <w:t xml:space="preserve">33.8%</w:t>
      </w:r>
      <w:r>
        <w:t xml:space="preserve">.</w:t>
      </w:r>
    </w:p>
    <w:p>
      <w:pPr>
        <w:pStyle w:val="FirstParagraph"/>
      </w:pPr>
      <w:r>
        <w:t xml:space="preserve">Management attributes the better underlying loss ratio to portfolio repositioning, lower-risk specialty business, and a substantial pullback from less attractive open-market U.S. casualty. The near-term tension is that lower casualty earned premium reduces underwriting leverage and can keep expenses elevated.</w:t>
      </w:r>
    </w:p>
    <w:p>
      <w:pPr>
        <w:pStyle w:val="BodyText"/>
      </w:pPr>
      <w:r>
        <w:t xml:space="preserve">A constructive report would show the segment maintaining or improving its attritional performance while making incremental progress on the expense ratio. A deterioration in the attritional ratio—or a lack of confidence around the path to operating leverage—would likely be the more material negative surprise.</w:t>
      </w:r>
    </w:p>
    <w:bookmarkEnd w:id="12"/>
    <w:bookmarkStart w:id="13" w:name="X0aeec14a8ad609703159921f003c9fd5724e7f9"/>
    <w:p>
      <w:pPr>
        <w:pStyle w:val="Heading3"/>
      </w:pPr>
      <w:r>
        <w:t xml:space="preserve">4. Reserve development and casualty conservatism</w:t>
      </w:r>
    </w:p>
    <w:p>
      <w:pPr>
        <w:pStyle w:val="FirstParagraph"/>
      </w:pPr>
      <w:r>
        <w:t xml:space="preserve">Reserve quality is central to the Everest thesis. Management has stressed that it is maintaining conservative current-year casualty loss picks amid persistent uncertainty around U.S. social inflation and the legal environment.</w:t>
      </w:r>
    </w:p>
    <w:p>
      <w:pPr>
        <w:pStyle w:val="BodyText"/>
      </w:pPr>
      <w:r>
        <w:t xml:space="preserve">In 1Q26, Everest recorded</w:t>
      </w:r>
      <w:r>
        <w:t xml:space="preserve"> </w:t>
      </w:r>
      <w:r>
        <w:rPr>
          <w:b/>
          <w:bCs/>
        </w:rPr>
        <w:t xml:space="preserve">$33 million of favorable development</w:t>
      </w:r>
      <w:r>
        <w:t xml:space="preserve">, primarily from well-seasoned property reserves. Management also cautioned that the Baltimore bridge loss could require “a few tens of millions” of additional reserves in a future quarter, potentially in 2Q or 3Q.</w:t>
      </w:r>
    </w:p>
    <w:p>
      <w:pPr>
        <w:pStyle w:val="BodyText"/>
      </w:pPr>
      <w:r>
        <w:t xml:space="preserve">For the release and call, watch for:</w:t>
      </w:r>
    </w:p>
    <w:p>
      <w:pPr>
        <w:pStyle w:val="Compact"/>
        <w:numPr>
          <w:ilvl w:val="0"/>
          <w:numId w:val="1005"/>
        </w:numPr>
      </w:pPr>
      <w:r>
        <w:t xml:space="preserve">Any unfavorable development in U.S. casualty or casualty reinsurance</w:t>
      </w:r>
    </w:p>
    <w:p>
      <w:pPr>
        <w:pStyle w:val="Compact"/>
        <w:numPr>
          <w:ilvl w:val="0"/>
          <w:numId w:val="1005"/>
        </w:numPr>
      </w:pPr>
      <w:r>
        <w:t xml:space="preserve">The magnitude of property reserve releases, if any</w:t>
      </w:r>
    </w:p>
    <w:p>
      <w:pPr>
        <w:pStyle w:val="Compact"/>
        <w:numPr>
          <w:ilvl w:val="0"/>
          <w:numId w:val="1005"/>
        </w:numPr>
      </w:pPr>
      <w:r>
        <w:t xml:space="preserve">Whether the Baltimore bridge reserve update has been recognized</w:t>
      </w:r>
    </w:p>
    <w:p>
      <w:pPr>
        <w:pStyle w:val="Compact"/>
        <w:numPr>
          <w:ilvl w:val="0"/>
          <w:numId w:val="1005"/>
        </w:numPr>
      </w:pPr>
      <w:r>
        <w:t xml:space="preserve">Commentary on whether favorable property development is recurring or episodic</w:t>
      </w:r>
    </w:p>
    <w:p>
      <w:pPr>
        <w:pStyle w:val="FirstParagraph"/>
      </w:pPr>
      <w:r>
        <w:t xml:space="preserve">A modest reserve charge tied to a known loss would be manageable. A broader casualty reserve issue would be a much more serious signal.</w:t>
      </w:r>
    </w:p>
    <w:bookmarkEnd w:id="13"/>
    <w:bookmarkStart w:id="14" w:name="X340f11dc74941a576a974e7082d1744153f2117"/>
    <w:p>
      <w:pPr>
        <w:pStyle w:val="Heading3"/>
      </w:pPr>
      <w:r>
        <w:t xml:space="preserve">5. Investment income remains a major earnings support</w:t>
      </w:r>
    </w:p>
    <w:p>
      <w:pPr>
        <w:pStyle w:val="FirstParagraph"/>
      </w:pPr>
      <w:r>
        <w:t xml:space="preserve">Net investment income was</w:t>
      </w:r>
      <w:r>
        <w:t xml:space="preserve"> </w:t>
      </w:r>
      <m:oMath>
        <m:r>
          <m:t>567</m:t>
        </m:r>
        <m:r>
          <m:t>m</m:t>
        </m:r>
        <m:r>
          <m:t>i</m:t>
        </m:r>
        <m:r>
          <m:t>l</m:t>
        </m:r>
        <m:r>
          <m:t>l</m:t>
        </m:r>
        <m:r>
          <m:t>i</m:t>
        </m:r>
        <m:r>
          <m:t>o</m:t>
        </m:r>
        <m:r>
          <m:t>n</m:t>
        </m:r>
        <m:r>
          <m:t>i</m:t>
        </m:r>
        <m:r>
          <m:t>n</m:t>
        </m:r>
        <m:r>
          <m:t>1</m:t>
        </m:r>
        <m:r>
          <m:t>Q</m:t>
        </m:r>
        <m:r>
          <m:t>26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rPr>
            <m:sty m:val="p"/>
          </m:rPr>
          <m:t>,</m:t>
        </m:r>
        <m:r>
          <m:t>u</m:t>
        </m:r>
        <m:r>
          <m:t>p</m:t>
        </m:r>
        <m:r>
          <m:t>f</m:t>
        </m:r>
        <m:r>
          <m:t>r</m:t>
        </m:r>
        <m:r>
          <m:t>o</m:t>
        </m:r>
        <m:r>
          <m:t>m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rPr>
          <w:b/>
          <w:bCs/>
        </w:rPr>
        <w:t xml:space="preserve">491 million</w:t>
      </w:r>
      <w:r>
        <w:t xml:space="preserve"> </w:t>
      </w:r>
      <w:r>
        <w:t xml:space="preserve">a year earlier, aided by strong alternative-investment returns. Everest’s fixed-income book had a</w:t>
      </w:r>
      <w:r>
        <w:t xml:space="preserve"> </w:t>
      </w:r>
      <w:r>
        <w:rPr>
          <w:b/>
          <w:bCs/>
        </w:rPr>
        <w:t xml:space="preserve">4.5% yield</w:t>
      </w:r>
      <w:r>
        <w:t xml:space="preserve">, roughly in line with its new-money yield, and a relatively short duration of approximately 3.5 years.</w:t>
      </w:r>
    </w:p>
    <w:p>
      <w:pPr>
        <w:pStyle w:val="BodyText"/>
      </w:pPr>
      <w:r>
        <w:t xml:space="preserve">The key consideration for 2Q is the variability of alternative returns. Fixed-income carry should remain supportive, but alternative investment income can make the reported result materially more or less favorable than a pure underwriting read would suggest.</w:t>
      </w:r>
    </w:p>
    <w:p>
      <w:pPr>
        <w:pStyle w:val="BodyText"/>
      </w:pPr>
      <w:r>
        <w:t xml:space="preserve">Investors should separate: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Recurring fixed-income carry</w:t>
      </w:r>
      <w:r>
        <w:t xml:space="preserve">, which appears durable; and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Alternative investment performance</w:t>
      </w:r>
      <w:r>
        <w:t xml:space="preserve">, which can add volatility to quarterly operating income.</w:t>
      </w:r>
    </w:p>
    <w:bookmarkEnd w:id="14"/>
    <w:bookmarkStart w:id="15" w:name="X01ff735ba9d82ab0b6bba67f6b72fa6033d00c4"/>
    <w:p>
      <w:pPr>
        <w:pStyle w:val="Heading3"/>
      </w:pPr>
      <w:r>
        <w:t xml:space="preserve">6. Capital return could be the catalyst</w:t>
      </w:r>
    </w:p>
    <w:p>
      <w:pPr>
        <w:pStyle w:val="FirstParagraph"/>
      </w:pPr>
      <w:r>
        <w:t xml:space="preserve">Capital return is increasingly central to the equity story. Everest repurchased</w:t>
      </w:r>
      <w:r>
        <w:t xml:space="preserve"> </w:t>
      </w:r>
      <m:oMath>
        <m:r>
          <m:t>331</m:t>
        </m:r>
        <m:r>
          <m:t>m</m:t>
        </m:r>
        <m:r>
          <m:t>i</m:t>
        </m:r>
        <m:r>
          <m:t>l</m:t>
        </m:r>
        <m:r>
          <m:t>l</m:t>
        </m:r>
        <m:r>
          <m:t>i</m:t>
        </m:r>
        <m:r>
          <m:t>o</m:t>
        </m:r>
        <m:r>
          <m:t>n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o</m:t>
        </m:r>
        <m:r>
          <m:t>f</m:t>
        </m:r>
        <m:r>
          <m:t>s</m:t>
        </m:r>
        <m:r>
          <m:t>t</m:t>
        </m:r>
        <m:r>
          <m:t>o</m:t>
        </m:r>
        <m:r>
          <m:t>c</m:t>
        </m:r>
        <m:r>
          <m:t>k</m:t>
        </m:r>
        <m:r>
          <m:t>i</m:t>
        </m:r>
        <m:r>
          <m:t>n</m:t>
        </m:r>
        <m:r>
          <m:t>1</m:t>
        </m:r>
        <m:r>
          <m:t>Q</m:t>
        </m:r>
        <m:r>
          <m:t>26</m:t>
        </m:r>
        <m:r>
          <m:t>a</m:t>
        </m:r>
        <m:r>
          <m:t>t</m:t>
        </m:r>
        <m:r>
          <m:t>a</m:t>
        </m:r>
        <m:r>
          <m:t>n</m:t>
        </m:r>
        <m:r>
          <m:t>a</m:t>
        </m:r>
        <m:r>
          <m:t>v</m:t>
        </m:r>
        <m:r>
          <m:t>e</m:t>
        </m:r>
        <m:r>
          <m:t>r</m:t>
        </m:r>
        <m:r>
          <m:t>a</m:t>
        </m:r>
        <m:r>
          <m:t>g</m:t>
        </m:r>
        <m:r>
          <m:t>e</m:t>
        </m:r>
        <m:r>
          <m:t>p</m:t>
        </m:r>
        <m:r>
          <m:t>r</m:t>
        </m:r>
        <m:r>
          <m:t>i</m:t>
        </m:r>
        <m:r>
          <m:t>c</m:t>
        </m:r>
        <m:r>
          <m:t>e</m:t>
        </m:r>
        <m:r>
          <m:t>o</m:t>
        </m:r>
        <m:r>
          <m:t>f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rPr>
          <w:b/>
          <w:bCs/>
        </w:rPr>
        <w:t xml:space="preserve">330.01 per share</w:t>
      </w:r>
      <w:r>
        <w:t xml:space="preserve">, followed by another</w:t>
      </w:r>
      <w:r>
        <w:t xml:space="preserve"> </w:t>
      </w:r>
      <m:oMath>
        <m:r>
          <m:t>100</m:t>
        </m:r>
        <m:r>
          <m:t>m</m:t>
        </m:r>
        <m:r>
          <m:t>i</m:t>
        </m:r>
        <m:r>
          <m:t>l</m:t>
        </m:r>
        <m:r>
          <m:t>l</m:t>
        </m:r>
        <m:r>
          <m:t>i</m:t>
        </m:r>
        <m:r>
          <m:t>o</m:t>
        </m:r>
        <m:r>
          <m:t>n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i</m:t>
        </m:r>
        <m:r>
          <m:t>n</m:t>
        </m:r>
        <m:r>
          <m:t>A</m:t>
        </m:r>
        <m:r>
          <m:t>p</m:t>
        </m:r>
        <m:r>
          <m:t>r</m:t>
        </m:r>
        <m:r>
          <m:t>i</m:t>
        </m:r>
        <m:r>
          <m:t>l</m:t>
        </m:r>
        <m:r>
          <m:rPr>
            <m:sty m:val="p"/>
          </m:rPr>
          <m:t>.</m:t>
        </m:r>
        <m:r>
          <m:t>M</m:t>
        </m:r>
        <m:r>
          <m:t>a</m:t>
        </m:r>
        <m:r>
          <m:t>n</m:t>
        </m:r>
        <m:r>
          <m:t>a</m:t>
        </m:r>
        <m:r>
          <m:t>g</m:t>
        </m:r>
        <m:r>
          <m:t>e</m:t>
        </m:r>
        <m:r>
          <m:t>m</m:t>
        </m:r>
        <m:r>
          <m:t>e</m:t>
        </m:r>
        <m:r>
          <m:t>n</m:t>
        </m:r>
        <m:r>
          <m:t>t</m:t>
        </m:r>
        <m:r>
          <m:t>r</m:t>
        </m:r>
        <m:r>
          <m:t>a</m:t>
        </m:r>
        <m:r>
          <m:t>i</m:t>
        </m:r>
        <m:r>
          <m:t>s</m:t>
        </m:r>
        <m:r>
          <m:t>e</m:t>
        </m:r>
        <m:r>
          <m:t>d</m:t>
        </m:r>
        <m:r>
          <m:t>i</m:t>
        </m:r>
        <m:r>
          <m:t>t</m:t>
        </m:r>
        <m:r>
          <m:t>s</m:t>
        </m:r>
        <m:r>
          <m:t>q</m:t>
        </m:r>
        <m:r>
          <m:t>u</m:t>
        </m:r>
        <m:r>
          <m:t>a</m:t>
        </m:r>
        <m:r>
          <m:t>r</m:t>
        </m:r>
        <m:r>
          <m:t>t</m:t>
        </m:r>
        <m:r>
          <m:t>e</m:t>
        </m:r>
        <m:r>
          <m:t>r</m:t>
        </m:r>
        <m:r>
          <m:t>l</m:t>
        </m:r>
        <m:r>
          <m:t>y</m:t>
        </m:r>
        <m:r>
          <m:t>r</m:t>
        </m:r>
        <m:r>
          <m:t>e</m:t>
        </m:r>
        <m:r>
          <m:t>p</m:t>
        </m:r>
        <m:r>
          <m:t>u</m:t>
        </m:r>
        <m:r>
          <m:t>r</m:t>
        </m:r>
        <m:r>
          <m:t>c</m:t>
        </m:r>
        <m:r>
          <m:t>h</m:t>
        </m:r>
        <m:r>
          <m:t>a</m:t>
        </m:r>
        <m:r>
          <m:t>s</m:t>
        </m:r>
        <m:r>
          <m:t>e</m:t>
        </m:r>
        <m:r>
          <m:t>f</m:t>
        </m:r>
        <m:r>
          <m:t>l</m:t>
        </m:r>
        <m:r>
          <m:t>o</m:t>
        </m:r>
        <m:r>
          <m:t>o</m:t>
        </m:r>
        <m:r>
          <m:t>r</m:t>
        </m:r>
        <m:r>
          <m:t>t</m:t>
        </m:r>
        <m:r>
          <m:t>o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rPr>
          <w:b/>
          <w:bCs/>
        </w:rPr>
        <w:t xml:space="preserve">300 million</w:t>
      </w:r>
      <w:r>
        <w:t xml:space="preserve">, absent a major external dislocation.</w:t>
      </w:r>
    </w:p>
    <w:p>
      <w:pPr>
        <w:pStyle w:val="BodyText"/>
      </w:pPr>
      <w:r>
        <w:t xml:space="preserve">The stock now trades above both the 1Q repurchase price and the March 31 adjusted book value per share of</w:t>
      </w:r>
      <w:r>
        <w:t xml:space="preserve"> </w:t>
      </w:r>
      <w:r>
        <w:rPr>
          <w:b/>
          <w:bCs/>
        </w:rPr>
        <w:t xml:space="preserve">$393.02</w:t>
      </w:r>
      <w:r>
        <w:t xml:space="preserve">. That makes the 2Q capital-allocation discussion more nuanced: investors will want proof that buybacks remain compelling even after the stock’s rally, while also wanting management to preserve capacity through hurricane season.</w:t>
      </w:r>
    </w:p>
    <w:p>
      <w:pPr>
        <w:pStyle w:val="BodyText"/>
      </w:pPr>
      <w:r>
        <w:t xml:space="preserve">Key questions:</w:t>
      </w:r>
    </w:p>
    <w:p>
      <w:pPr>
        <w:pStyle w:val="Compact"/>
        <w:numPr>
          <w:ilvl w:val="0"/>
          <w:numId w:val="1007"/>
        </w:numPr>
      </w:pPr>
      <w:r>
        <w:t xml:space="preserve">Did Everest meet or exceed the $300 million quarterly repurchase floor?</w:t>
      </w:r>
    </w:p>
    <w:p>
      <w:pPr>
        <w:pStyle w:val="Compact"/>
        <w:numPr>
          <w:ilvl w:val="0"/>
          <w:numId w:val="1007"/>
        </w:numPr>
      </w:pPr>
      <w:r>
        <w:t xml:space="preserve">Has the company’s view of repurchase attractiveness changed at the current share price?</w:t>
      </w:r>
    </w:p>
    <w:p>
      <w:pPr>
        <w:pStyle w:val="Compact"/>
        <w:numPr>
          <w:ilvl w:val="0"/>
          <w:numId w:val="1007"/>
        </w:numPr>
      </w:pPr>
      <w:r>
        <w:t xml:space="preserve">Is capital being released from the retail-business transition as expected?</w:t>
      </w:r>
    </w:p>
    <w:p>
      <w:pPr>
        <w:pStyle w:val="Compact"/>
        <w:numPr>
          <w:ilvl w:val="0"/>
          <w:numId w:val="1007"/>
        </w:numPr>
      </w:pPr>
      <w:r>
        <w:t xml:space="preserve">Does management still expect potentially elevated shareholder distributions in the second half of 2026?</w:t>
      </w:r>
    </w:p>
    <w:bookmarkEnd w:id="15"/>
    <w:bookmarkEnd w:id="16"/>
    <w:bookmarkStart w:id="17" w:name="X94656acb45861a1c24aba4e1b6b929ff1779d00"/>
    <w:p>
      <w:pPr>
        <w:pStyle w:val="Heading2"/>
      </w:pPr>
      <w:r>
        <w:t xml:space="preserve">The legacy runoff: earnings drag now, capital-release opportunity later</w:t>
      </w:r>
    </w:p>
    <w:p>
      <w:pPr>
        <w:pStyle w:val="FirstParagraph"/>
      </w:pPr>
      <w:r>
        <w:t xml:space="preserve">Everest’s exit from commercial retail insurance is strategically important but makes near-term results less clean. The company expects the Legacy segment to run at a combined ratio above</w:t>
      </w:r>
      <w:r>
        <w:t xml:space="preserve"> </w:t>
      </w:r>
      <w:r>
        <w:rPr>
          <w:b/>
          <w:bCs/>
        </w:rPr>
        <w:t xml:space="preserve">110%</w:t>
      </w:r>
      <w:r>
        <w:t xml:space="preserve"> </w:t>
      </w:r>
      <w:r>
        <w:t xml:space="preserve">in 2026, largely due to expense drag during the transition. It also expects approximately</w:t>
      </w:r>
      <w:r>
        <w:t xml:space="preserve"> </w:t>
      </w:r>
      <w:r>
        <w:rPr>
          <w:b/>
          <w:bCs/>
        </w:rPr>
        <w:t xml:space="preserve">$150 million</w:t>
      </w:r>
      <w:r>
        <w:t xml:space="preserve"> </w:t>
      </w:r>
      <w:r>
        <w:t xml:space="preserve">of 2026 restructuring charges related to the retail exit, recognized outside the combined ratio in other income/expense.</w:t>
      </w:r>
    </w:p>
    <w:p>
      <w:pPr>
        <w:pStyle w:val="BodyText"/>
      </w:pPr>
      <w:r>
        <w:t xml:space="preserve">The offset is potential capital release. Management has said the economic benefits should become more visible in the back half of 2026.</w:t>
      </w:r>
    </w:p>
    <w:p>
      <w:pPr>
        <w:pStyle w:val="BodyText"/>
      </w:pPr>
      <w:r>
        <w:t xml:space="preserve">Therefore, investors should not overreact to a weak Legacy underwriting result if:</w:t>
      </w:r>
    </w:p>
    <w:p>
      <w:pPr>
        <w:pStyle w:val="Compact"/>
        <w:numPr>
          <w:ilvl w:val="0"/>
          <w:numId w:val="1008"/>
        </w:numPr>
      </w:pPr>
      <w:r>
        <w:t xml:space="preserve">The runoff remains on plan;</w:t>
      </w:r>
    </w:p>
    <w:p>
      <w:pPr>
        <w:pStyle w:val="Compact"/>
        <w:numPr>
          <w:ilvl w:val="0"/>
          <w:numId w:val="1008"/>
        </w:numPr>
      </w:pPr>
      <w:r>
        <w:t xml:space="preserve">Charges track prior expectations;</w:t>
      </w:r>
    </w:p>
    <w:p>
      <w:pPr>
        <w:pStyle w:val="Compact"/>
        <w:numPr>
          <w:ilvl w:val="0"/>
          <w:numId w:val="1008"/>
        </w:numPr>
      </w:pPr>
      <w:r>
        <w:t xml:space="preserve">The company quantifies capital release or provides a clearer timing framework; and</w:t>
      </w:r>
    </w:p>
    <w:p>
      <w:pPr>
        <w:pStyle w:val="Compact"/>
        <w:numPr>
          <w:ilvl w:val="0"/>
          <w:numId w:val="1008"/>
        </w:numPr>
      </w:pPr>
      <w:r>
        <w:t xml:space="preserve">Core Reinsurance Treaty and Global Wholesale &amp; Specialty margins continue to improve.</w:t>
      </w:r>
    </w:p>
    <w:bookmarkEnd w:id="17"/>
    <w:bookmarkStart w:id="18" w:name="what-would-constitute-a-positive-report"/>
    <w:p>
      <w:pPr>
        <w:pStyle w:val="Heading2"/>
      </w:pPr>
      <w:r>
        <w:t xml:space="preserve">What would constitute a positive report?</w:t>
      </w:r>
    </w:p>
    <w:p>
      <w:pPr>
        <w:pStyle w:val="FirstParagraph"/>
      </w:pPr>
      <w:r>
        <w:t xml:space="preserve">A bullish setup would include:</w:t>
      </w:r>
    </w:p>
    <w:p>
      <w:pPr>
        <w:pStyle w:val="Compact"/>
        <w:numPr>
          <w:ilvl w:val="0"/>
          <w:numId w:val="1009"/>
        </w:numPr>
      </w:pPr>
      <w:r>
        <w:t xml:space="preserve">A group combined ratio that demonstrates continued sub-90s underlying underwriting performance, adjusted for normal catastrophe activity;</w:t>
      </w:r>
    </w:p>
    <w:p>
      <w:pPr>
        <w:pStyle w:val="Compact"/>
        <w:numPr>
          <w:ilvl w:val="0"/>
          <w:numId w:val="1009"/>
        </w:numPr>
      </w:pPr>
      <w:r>
        <w:t xml:space="preserve">Reinsurance Treaty margins holding up despite lower property-cat pricing;</w:t>
      </w:r>
    </w:p>
    <w:p>
      <w:pPr>
        <w:pStyle w:val="Compact"/>
        <w:numPr>
          <w:ilvl w:val="0"/>
          <w:numId w:val="1009"/>
        </w:numPr>
      </w:pPr>
      <w:r>
        <w:t xml:space="preserve">No meaningful adverse casualty reserve development;</w:t>
      </w:r>
    </w:p>
    <w:p>
      <w:pPr>
        <w:pStyle w:val="Compact"/>
        <w:numPr>
          <w:ilvl w:val="0"/>
          <w:numId w:val="1009"/>
        </w:numPr>
      </w:pPr>
      <w:r>
        <w:t xml:space="preserve">Continued improvement in Global Wholesale &amp; Specialty’s attritional ratio and evidence of expense leverage;</w:t>
      </w:r>
    </w:p>
    <w:p>
      <w:pPr>
        <w:pStyle w:val="Compact"/>
        <w:numPr>
          <w:ilvl w:val="0"/>
          <w:numId w:val="1009"/>
        </w:numPr>
      </w:pPr>
      <w:r>
        <w:t xml:space="preserve">Net investment income near the elevated 1Q run rate, without relying excessively on alternatives;</w:t>
      </w:r>
    </w:p>
    <w:p>
      <w:pPr>
        <w:pStyle w:val="Compact"/>
        <w:numPr>
          <w:ilvl w:val="0"/>
          <w:numId w:val="1009"/>
        </w:numPr>
      </w:pPr>
      <w:r>
        <w:t xml:space="preserve">Buybacks at or above the stated $300 million quarterly floor; and</w:t>
      </w:r>
    </w:p>
    <w:p>
      <w:pPr>
        <w:pStyle w:val="Compact"/>
        <w:numPr>
          <w:ilvl w:val="0"/>
          <w:numId w:val="1009"/>
        </w:numPr>
      </w:pPr>
      <w:r>
        <w:t xml:space="preserve">Clear confirmation that retail-exit capital release remains a second-half catalyst.</w:t>
      </w:r>
    </w:p>
    <w:bookmarkEnd w:id="18"/>
    <w:bookmarkStart w:id="19" w:name="what-could-disappoint"/>
    <w:p>
      <w:pPr>
        <w:pStyle w:val="Heading2"/>
      </w:pPr>
      <w:r>
        <w:t xml:space="preserve">What could disappoint?</w:t>
      </w:r>
    </w:p>
    <w:p>
      <w:pPr>
        <w:pStyle w:val="FirstParagraph"/>
      </w:pPr>
      <w:r>
        <w:t xml:space="preserve">The main downside risks are:</w:t>
      </w:r>
    </w:p>
    <w:p>
      <w:pPr>
        <w:pStyle w:val="Compact"/>
        <w:numPr>
          <w:ilvl w:val="0"/>
          <w:numId w:val="1010"/>
        </w:numPr>
      </w:pPr>
      <w:r>
        <w:t xml:space="preserve">Catastrophe or specialty losses that materially exceed expectations;</w:t>
      </w:r>
    </w:p>
    <w:p>
      <w:pPr>
        <w:pStyle w:val="Compact"/>
        <w:numPr>
          <w:ilvl w:val="0"/>
          <w:numId w:val="1010"/>
        </w:numPr>
      </w:pPr>
      <w:r>
        <w:t xml:space="preserve">A negative reserve update, particularly in casualty;</w:t>
      </w:r>
    </w:p>
    <w:p>
      <w:pPr>
        <w:pStyle w:val="Compact"/>
        <w:numPr>
          <w:ilvl w:val="0"/>
          <w:numId w:val="1010"/>
        </w:numPr>
      </w:pPr>
      <w:r>
        <w:t xml:space="preserve">Meaningful margin pressure from lower property-cat prices or inadequate renewal discipline;</w:t>
      </w:r>
    </w:p>
    <w:p>
      <w:pPr>
        <w:pStyle w:val="Compact"/>
        <w:numPr>
          <w:ilvl w:val="0"/>
          <w:numId w:val="1010"/>
        </w:numPr>
      </w:pPr>
      <w:r>
        <w:t xml:space="preserve">Global Wholesale &amp; Specialty failing to convert better mix into lower combined ratios;</w:t>
      </w:r>
    </w:p>
    <w:p>
      <w:pPr>
        <w:pStyle w:val="Compact"/>
        <w:numPr>
          <w:ilvl w:val="0"/>
          <w:numId w:val="1010"/>
        </w:numPr>
      </w:pPr>
      <w:r>
        <w:t xml:space="preserve">Lower investment income due to weaker alternatives;</w:t>
      </w:r>
    </w:p>
    <w:p>
      <w:pPr>
        <w:pStyle w:val="Compact"/>
        <w:numPr>
          <w:ilvl w:val="0"/>
          <w:numId w:val="1010"/>
        </w:numPr>
      </w:pPr>
      <w:r>
        <w:t xml:space="preserve">A slower-than-expected capital release from the retail runoff; or</w:t>
      </w:r>
    </w:p>
    <w:p>
      <w:pPr>
        <w:pStyle w:val="Compact"/>
        <w:numPr>
          <w:ilvl w:val="0"/>
          <w:numId w:val="1010"/>
        </w:numPr>
      </w:pPr>
      <w:r>
        <w:t xml:space="preserve">Buybacks that fall below expectations because management becomes more cautious ahead of peak catastrophe season.</w:t>
      </w:r>
    </w:p>
    <w:bookmarkEnd w:id="19"/>
    <w:bookmarkStart w:id="20" w:name="bottom-line"/>
    <w:p>
      <w:pPr>
        <w:pStyle w:val="Heading2"/>
      </w:pPr>
      <w:r>
        <w:t xml:space="preserve">Bottom line</w:t>
      </w:r>
    </w:p>
    <w:p>
      <w:pPr>
        <w:pStyle w:val="FirstParagraph"/>
      </w:pPr>
      <w:r>
        <w:t xml:space="preserve">Everest’s 2Q26 report is principally a test of whether its strategic reset is translating into</w:t>
      </w:r>
      <w:r>
        <w:t xml:space="preserve"> </w:t>
      </w:r>
      <w:r>
        <w:rPr>
          <w:b/>
          <w:bCs/>
        </w:rPr>
        <w:t xml:space="preserve">repeatable, capital-efficient earnings</w:t>
      </w:r>
      <w:r>
        <w:t xml:space="preserve">, rather than a one-quarter improvement. The most important evidence will be in Treaty underwriting margins, reserve discipline, the trajectory of Global Wholesale &amp; Specialty, and the willingness to continue returning capital.</w:t>
      </w:r>
    </w:p>
    <w:p>
      <w:pPr>
        <w:pStyle w:val="BodyText"/>
      </w:pPr>
      <w:r>
        <w:t xml:space="preserve">The company has already shown it can generate strong results: 1Q26 produced a</w:t>
      </w:r>
      <w:r>
        <w:t xml:space="preserve"> </w:t>
      </w:r>
      <w:r>
        <w:rPr>
          <w:b/>
          <w:bCs/>
        </w:rPr>
        <w:t xml:space="preserve">16.7% operating ROE</w:t>
      </w:r>
      <w:r>
        <w:t xml:space="preserve"> </w:t>
      </w:r>
      <w:r>
        <w:t xml:space="preserve">and a</w:t>
      </w:r>
      <w:r>
        <w:t xml:space="preserve"> </w:t>
      </w:r>
      <w:r>
        <w:rPr>
          <w:b/>
          <w:bCs/>
        </w:rPr>
        <w:t xml:space="preserve">91.2% combined ratio</w:t>
      </w:r>
      <w:r>
        <w:t xml:space="preserve">. With the shares having rallied materially into the event, the market is likely to demand confirmation that these returns are durable even in a softer reinsurance-pricing environment.</w:t>
      </w:r>
    </w:p>
    <w:bookmarkEnd w:id="20"/>
    <w:bookmarkEnd w:id="2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2026-07-29T01:56:36Z</dcterms:created>
  <dcterms:modified xsi:type="dcterms:W3CDTF">2026-07-29T01:56:36Z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