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eg-earnings-predictions--2026-07-29"/>
    <w:p>
      <w:pPr>
        <w:pStyle w:val="Heading1"/>
      </w:pPr>
      <w:r>
        <w:t xml:space="preserve">EG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~$15.50 vs. cons $14.74 (VA, Jul 29)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Combined Ratio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~92.8% vs. cons 91.98% (VA, Jul 29)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Premium Written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~$3.25B vs. cons $3.367B (VA, Jul 29)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Operating EPS (implied FY)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~$53-55 implied vs. cons $51.50 (VA, Jul 29)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Baltimore Bridge Reserve (Q2 2026)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~$25-35M incremental PYD vs. cons $0 (not in consensus)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Buyback Floor / Capital Return (Q3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reaffirm $300M/qtr floor; possible augmentation commentary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EG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+1.5% (STABILIZE)</w:t>
            </w:r>
          </w:p>
        </w:tc>
        <w:tc>
          <w:tcPr/>
          <w:p>
            <w:pPr>
              <w:pStyle w:val="Compact"/>
            </w:pPr>
            <w:r>
              <w:t xml:space="preserve">STABILIZE — beat is real but modest; property cat headwind known; capital return story provides floor; slight fade as sell-side models H2 math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2026-08-01T02:02:59Z</dcterms:created>
  <dcterms:modified xsi:type="dcterms:W3CDTF">2026-08-01T02:02:59Z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