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Everest Group, Ltd. (EG)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Everest Group, Ltd.</w:t>
            </w:r>
          </w:p>
        </w:tc>
      </w:tr>
      <w:tr>
        <w:tc>
          <w:tcPr>
            <w:tcW w:type="dxa" w:w="4320"/>
          </w:tcPr>
          <w:p>
            <w:r>
              <w:rPr>
                <w:rFonts w:ascii="Calibri" w:hAnsi="Calibri"/>
                <w:b/>
                <w:sz w:val="22"/>
              </w:rPr>
              <w:t>Ticker</w:t>
            </w:r>
          </w:p>
        </w:tc>
        <w:tc>
          <w:tcPr>
            <w:tcW w:type="dxa" w:w="4320"/>
          </w:tcPr>
          <w:p>
            <w:r>
              <w:rPr>
                <w:rFonts w:ascii="Calibri" w:hAnsi="Calibri"/>
                <w:sz w:val="22"/>
              </w:rPr>
              <w:t>NYSE: EG</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29–30, 2026</w:t>
            </w:r>
          </w:p>
        </w:tc>
      </w:tr>
      <w:tr>
        <w:tc>
          <w:tcPr>
            <w:tcW w:type="dxa" w:w="4320"/>
          </w:tcPr>
          <w:p>
            <w:r>
              <w:rPr>
                <w:rFonts w:ascii="Calibri" w:hAnsi="Calibri"/>
                <w:b/>
                <w:sz w:val="22"/>
              </w:rPr>
              <w:t>Prepared Date</w:t>
            </w:r>
          </w:p>
        </w:tc>
        <w:tc>
          <w:tcPr>
            <w:tcW w:type="dxa" w:w="4320"/>
          </w:tcPr>
          <w:p>
            <w:r>
              <w:rPr>
                <w:rFonts w:ascii="Calibri" w:hAnsi="Calibri"/>
                <w:sz w:val="22"/>
              </w:rPr>
              <w:t>July 28, 2026</w:t>
            </w:r>
          </w:p>
        </w:tc>
      </w:tr>
      <w:tr>
        <w:tc>
          <w:tcPr>
            <w:tcW w:type="dxa" w:w="4320"/>
          </w:tcPr>
          <w:p>
            <w:r>
              <w:rPr>
                <w:rFonts w:ascii="Calibri" w:hAnsi="Calibri"/>
                <w:b/>
                <w:sz w:val="22"/>
              </w:rPr>
              <w:t>Sector ETF Benchmark</w:t>
            </w:r>
          </w:p>
        </w:tc>
        <w:tc>
          <w:tcPr>
            <w:tcW w:type="dxa" w:w="4320"/>
          </w:tcPr>
          <w:p>
            <w:r>
              <w:rPr>
                <w:rFonts w:ascii="Calibri" w:hAnsi="Calibri"/>
                <w:sz w:val="22"/>
              </w:rPr>
              <w:t>IAK (iShares U.S. Insurance ETF)</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constructive but not clean — the bar is beatable on underwriting (consensus combined ratio of ~92.0% vs. EG’s Q1 2026 actual of 91.2%), but the single biggest swing factor is whether the Baltimore Bridge reserve development materializes in Q2 (management flagged “a few tens of millions” of incremental prior-year development possible in Q2 or Q3) and how much property cat pricing softness flows through net premium written.</w:t>
      </w:r>
    </w:p>
    <w:p>
      <w:r>
        <w:rPr>
          <w:rFonts w:ascii="Calibri" w:hAnsi="Calibri"/>
          <w:color w:val="525866"/>
          <w:sz w:val="22"/>
        </w:rPr>
        <w:t xml:space="preserve">Heading into Q2 2026, Everest’s setup is one of improving underlying quality against a backdrop of deliberate top-line contraction and a still-uncertain cat reserve item. </w:t>
      </w:r>
      <w:r>
        <w:rPr>
          <w:rFonts w:ascii="Calibri" w:hAnsi="Calibri"/>
          <w:color w:val="525866"/>
          <w:sz w:val="22"/>
        </w:rPr>
        <w:t>Consensus operating EPS of $14.74 represents a meaningful step-down from Q1’s $16.08 actual, largely reflecting the absence of the outsized alternative investment income that boosted Q1, and the bar on net premium written ($3.37B consensus) is already discounting the ongoing casualty runoff and retail exit — making a volume beat less likely but also less necessary.</w:t>
      </w:r>
      <w:r>
        <w:rPr>
          <w:rFonts w:ascii="Calibri" w:hAnsi="Calibri"/>
          <w:color w:val="525866"/>
          <w:sz w:val="22"/>
        </w:rPr>
        <w:t xml:space="preserve"> Management’s tone on the Q1 call was confident on underwriting trajectory (attritional combined ratio improving 3.8 pts in GW&amp;S to 58.9%) while explicitly cautious on property cat pricing (rates down 13% at April 1, mid-teens declines expected at 6/1 Florida), and the launch of the Annapurna Re casualty sidecar ($600M third-party capital) signals conviction in the casualty book’s quality.</w:t>
      </w:r>
      <w:r>
        <w:rPr>
          <w:rFonts w:ascii="Calibri" w:hAnsi="Calibri"/>
          <w:color w:val="525866"/>
          <w:sz w:val="22"/>
        </w:rPr>
        <w:t xml:space="preserve"> Estimate revisions have been modestly positive since the Q1 print — FY2026 operating EPS consensus moved from $53.19 to $51.50 (a slight downward drift), while the stock has rallied ~15.9% since last earnings vs. IAK +15.7% and SPY +4.1%, suggesting the market has already priced in meaningful execution progress.</w:t>
      </w:r>
      <w:r>
        <w:rPr>
          <w:rFonts w:ascii="Calibri" w:hAnsi="Calibri"/>
          <w:color w:val="525866"/>
          <w:sz w:val="22"/>
        </w:rPr>
        <w:t xml:space="preserve"> The wildcard is the Baltimore Bridge: management guided to “a few tens of millions” of incremental prior-year development in Q2 or Q3, and peer RenaissanceRe (RNR) confirmed in its Q2 2026 call that the industry loss estimate grew materially, with RNR itself booking 4.1 points of adverse development from the bridge — this is the most likely source of a negative surprise for EG in Q2.</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moderate bar on underwriting (combined ratio ~92.0% vs. Q1 actual 91.2%), but operating EPS ($14.74) is the bigger swing factor given sensitivity to cat activity and alternative investment income. Net premium written is the secondary watch item given ongoing portfolio reshaping.</w:t>
      </w:r>
    </w:p>
    <w:p>
      <w:r>
        <w:rPr>
          <w:rFonts w:ascii="Calibri" w:hAnsi="Calibri"/>
          <w:b/>
          <w:color w:val="525866"/>
          <w:sz w:val="22"/>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Operating EPS (Diluted)</w:t>
            </w:r>
          </w:p>
        </w:tc>
        <w:tc>
          <w:tcPr>
            <w:tcW w:type="dxa" w:w="1234"/>
          </w:tcPr>
          <w:p>
            <w:r>
              <w:rPr>
                <w:rFonts w:ascii="Calibri" w:hAnsi="Calibri"/>
                <w:sz w:val="22"/>
              </w:rPr>
              <w:t>$16.08</w:t>
            </w:r>
          </w:p>
        </w:tc>
        <w:tc>
          <w:tcPr>
            <w:tcW w:type="dxa" w:w="1234"/>
          </w:tcPr>
          <w:p>
            <w:r>
              <w:rPr>
                <w:rFonts w:ascii="Calibri" w:hAnsi="Calibri"/>
                <w:sz w:val="22"/>
              </w:rPr>
              <w:t>$17.56</w:t>
            </w:r>
          </w:p>
        </w:tc>
        <w:tc>
          <w:tcPr>
            <w:tcW w:type="dxa" w:w="1234"/>
          </w:tcPr>
          <w:p>
            <w:r>
              <w:rPr>
                <w:rFonts w:ascii="Calibri" w:hAnsi="Calibri"/>
                <w:sz w:val="22"/>
              </w:rPr>
              <w:t>$14.74</w:t>
            </w:r>
          </w:p>
        </w:tc>
        <w:tc>
          <w:tcPr>
            <w:tcW w:type="dxa" w:w="1234"/>
          </w:tcPr>
          <w:p>
            <w:r>
              <w:rPr>
                <w:rFonts w:ascii="Calibri" w:hAnsi="Calibri"/>
                <w:sz w:val="22"/>
              </w:rPr>
              <w:t>-16.1%</w:t>
            </w:r>
          </w:p>
        </w:tc>
        <w:tc>
          <w:tcPr>
            <w:tcW w:type="dxa" w:w="1234"/>
          </w:tcPr>
          <w:p>
            <w:r>
              <w:rPr>
                <w:rFonts w:ascii="Calibri" w:hAnsi="Calibri"/>
                <w:sz w:val="22"/>
              </w:rPr>
              <w:t>No specific Q2 guidance; FY2026 implied ~$51.50</w:t>
            </w:r>
          </w:p>
        </w:tc>
        <w:tc>
          <w:tcPr>
            <w:tcW w:type="dxa" w:w="1234"/>
          </w:tcPr>
          <w:p>
            <w:r>
              <w:rPr>
                <w:rFonts w:ascii="Calibri" w:hAnsi="Calibri"/>
                <w:sz w:val="22"/>
              </w:rPr>
              <w:t>N/A (no quarterly guide)</w:t>
            </w:r>
          </w:p>
        </w:tc>
      </w:tr>
      <w:tr>
        <w:tc>
          <w:tcPr>
            <w:tcW w:type="dxa" w:w="1234"/>
          </w:tcPr>
          <w:p>
            <w:r>
              <w:rPr>
                <w:rFonts w:ascii="Calibri" w:hAnsi="Calibri"/>
                <w:sz w:val="22"/>
              </w:rPr>
              <w:t>Combined Ratio (%)</w:t>
            </w:r>
          </w:p>
        </w:tc>
        <w:tc>
          <w:tcPr>
            <w:tcW w:type="dxa" w:w="1234"/>
          </w:tcPr>
          <w:p>
            <w:r>
              <w:rPr>
                <w:rFonts w:ascii="Calibri" w:hAnsi="Calibri"/>
                <w:sz w:val="22"/>
              </w:rPr>
              <w:t>91.2%</w:t>
            </w:r>
          </w:p>
        </w:tc>
        <w:tc>
          <w:tcPr>
            <w:tcW w:type="dxa" w:w="1234"/>
          </w:tcPr>
          <w:p>
            <w:r>
              <w:rPr>
                <w:rFonts w:ascii="Calibri" w:hAnsi="Calibri"/>
                <w:sz w:val="22"/>
              </w:rPr>
              <w:t>90.4%</w:t>
            </w:r>
          </w:p>
        </w:tc>
        <w:tc>
          <w:tcPr>
            <w:tcW w:type="dxa" w:w="1234"/>
          </w:tcPr>
          <w:p>
            <w:r>
              <w:rPr>
                <w:rFonts w:ascii="Calibri" w:hAnsi="Calibri"/>
                <w:sz w:val="22"/>
              </w:rPr>
              <w:t>92.0%</w:t>
            </w:r>
          </w:p>
        </w:tc>
        <w:tc>
          <w:tcPr>
            <w:tcW w:type="dxa" w:w="1234"/>
          </w:tcPr>
          <w:p>
            <w:r>
              <w:rPr>
                <w:rFonts w:ascii="Calibri" w:hAnsi="Calibri"/>
                <w:sz w:val="22"/>
              </w:rPr>
              <w:t>+160 bps</w:t>
            </w:r>
          </w:p>
        </w:tc>
        <w:tc>
          <w:tcPr>
            <w:tcW w:type="dxa" w:w="1234"/>
          </w:tcPr>
          <w:p>
            <w:r>
              <w:rPr>
                <w:rFonts w:ascii="Calibri" w:hAnsi="Calibri"/>
                <w:sz w:val="22"/>
              </w:rPr>
              <w:t>Legacy &gt;110% for FY2026; GW&amp;S targeting low-90s</w:t>
            </w:r>
          </w:p>
        </w:tc>
        <w:tc>
          <w:tcPr>
            <w:tcW w:type="dxa" w:w="1234"/>
          </w:tcPr>
          <w:p>
            <w:r>
              <w:rPr>
                <w:rFonts w:ascii="Calibri" w:hAnsi="Calibri"/>
                <w:sz w:val="22"/>
              </w:rPr>
              <w:t>Broadly in line with guidance range</w:t>
            </w:r>
          </w:p>
        </w:tc>
      </w:tr>
      <w:tr>
        <w:tc>
          <w:tcPr>
            <w:tcW w:type="dxa" w:w="1234"/>
          </w:tcPr>
          <w:p>
            <w:r>
              <w:rPr>
                <w:rFonts w:ascii="Calibri" w:hAnsi="Calibri"/>
                <w:sz w:val="22"/>
              </w:rPr>
              <w:t>Net Premium Written</w:t>
            </w:r>
          </w:p>
        </w:tc>
        <w:tc>
          <w:tcPr>
            <w:tcW w:type="dxa" w:w="1234"/>
          </w:tcPr>
          <w:p>
            <w:r>
              <w:rPr>
                <w:rFonts w:ascii="Calibri" w:hAnsi="Calibri"/>
                <w:sz w:val="22"/>
              </w:rPr>
              <w:t>$3.186B</w:t>
            </w:r>
          </w:p>
        </w:tc>
        <w:tc>
          <w:tcPr>
            <w:tcW w:type="dxa" w:w="1234"/>
          </w:tcPr>
          <w:p>
            <w:r>
              <w:rPr>
                <w:rFonts w:ascii="Calibri" w:hAnsi="Calibri"/>
                <w:sz w:val="22"/>
              </w:rPr>
              <w:t>$4.119B</w:t>
            </w:r>
          </w:p>
        </w:tc>
        <w:tc>
          <w:tcPr>
            <w:tcW w:type="dxa" w:w="1234"/>
          </w:tcPr>
          <w:p>
            <w:r>
              <w:rPr>
                <w:rFonts w:ascii="Calibri" w:hAnsi="Calibri"/>
                <w:sz w:val="22"/>
              </w:rPr>
              <w:t>$3.367B</w:t>
            </w:r>
          </w:p>
        </w:tc>
        <w:tc>
          <w:tcPr>
            <w:tcW w:type="dxa" w:w="1234"/>
          </w:tcPr>
          <w:p>
            <w:r>
              <w:rPr>
                <w:rFonts w:ascii="Calibri" w:hAnsi="Calibri"/>
                <w:sz w:val="22"/>
              </w:rPr>
              <w:t>-18.3%</w:t>
            </w:r>
          </w:p>
        </w:tc>
        <w:tc>
          <w:tcPr>
            <w:tcW w:type="dxa" w:w="1234"/>
          </w:tcPr>
          <w:p>
            <w:r>
              <w:rPr>
                <w:rFonts w:ascii="Calibri" w:hAnsi="Calibri"/>
                <w:sz w:val="22"/>
              </w:rPr>
              <w:t>No specific quarterly guide; FY2026 ~$13.14B</w:t>
            </w:r>
          </w:p>
        </w:tc>
        <w:tc>
          <w:tcPr>
            <w:tcW w:type="dxa" w:w="1234"/>
          </w:tcPr>
          <w:p>
            <w:r>
              <w:rPr>
                <w:rFonts w:ascii="Calibri" w:hAnsi="Calibri"/>
                <w:sz w:val="22"/>
              </w:rPr>
              <w:t>N/A (no quarterly guide)</w:t>
            </w:r>
          </w:p>
        </w:tc>
      </w:tr>
      <w:tr>
        <w:tc>
          <w:tcPr>
            <w:tcW w:type="dxa" w:w="1234"/>
          </w:tcPr>
          <w:p>
            <w:r>
              <w:rPr>
                <w:rFonts w:ascii="Calibri" w:hAnsi="Calibri"/>
                <w:sz w:val="22"/>
              </w:rPr>
              <w:t>Net Investment Income</w:t>
            </w:r>
          </w:p>
        </w:tc>
        <w:tc>
          <w:tcPr>
            <w:tcW w:type="dxa" w:w="1234"/>
          </w:tcPr>
          <w:p>
            <w:r>
              <w:rPr>
                <w:rFonts w:ascii="Calibri" w:hAnsi="Calibri"/>
                <w:sz w:val="22"/>
              </w:rPr>
              <w:t>$567M</w:t>
            </w:r>
          </w:p>
        </w:tc>
        <w:tc>
          <w:tcPr>
            <w:tcW w:type="dxa" w:w="1234"/>
          </w:tcPr>
          <w:p>
            <w:r>
              <w:rPr>
                <w:rFonts w:ascii="Calibri" w:hAnsi="Calibri"/>
                <w:sz w:val="22"/>
              </w:rPr>
              <w:t>$532M</w:t>
            </w:r>
          </w:p>
        </w:tc>
        <w:tc>
          <w:tcPr>
            <w:tcW w:type="dxa" w:w="1234"/>
          </w:tcPr>
          <w:p>
            <w:r>
              <w:rPr>
                <w:rFonts w:ascii="Calibri" w:hAnsi="Calibri"/>
                <w:sz w:val="22"/>
              </w:rPr>
              <w:t>$496M</w:t>
            </w:r>
          </w:p>
        </w:tc>
        <w:tc>
          <w:tcPr>
            <w:tcW w:type="dxa" w:w="1234"/>
          </w:tcPr>
          <w:p>
            <w:r>
              <w:rPr>
                <w:rFonts w:ascii="Calibri" w:hAnsi="Calibri"/>
                <w:sz w:val="22"/>
              </w:rPr>
              <w:t>-6.8%</w:t>
            </w:r>
          </w:p>
        </w:tc>
        <w:tc>
          <w:tcPr>
            <w:tcW w:type="dxa" w:w="1234"/>
          </w:tcPr>
          <w:p>
            <w:r>
              <w:rPr>
                <w:rFonts w:ascii="Calibri" w:hAnsi="Calibri"/>
                <w:sz w:val="22"/>
              </w:rPr>
              <w:t>Flat to marginal AUM growth; ~$60M annual drag from ADC</w:t>
            </w:r>
          </w:p>
        </w:tc>
        <w:tc>
          <w:tcPr>
            <w:tcW w:type="dxa" w:w="1234"/>
          </w:tcPr>
          <w:p>
            <w:r>
              <w:rPr>
                <w:rFonts w:ascii="Calibri" w:hAnsi="Calibri"/>
                <w:sz w:val="22"/>
              </w:rPr>
              <w:t>Consensus below prior year; reflects ADC drag</w:t>
            </w:r>
          </w:p>
        </w:tc>
      </w:tr>
      <w:tr>
        <w:tc>
          <w:tcPr>
            <w:tcW w:type="dxa" w:w="1234"/>
          </w:tcPr>
          <w:p>
            <w:r>
              <w:rPr>
                <w:rFonts w:ascii="Calibri" w:hAnsi="Calibri"/>
                <w:sz w:val="22"/>
              </w:rPr>
              <w:t>Attritional Combined Ratio (%)</w:t>
            </w:r>
          </w:p>
        </w:tc>
        <w:tc>
          <w:tcPr>
            <w:tcW w:type="dxa" w:w="1234"/>
          </w:tcPr>
          <w:p>
            <w:r>
              <w:rPr>
                <w:rFonts w:ascii="Calibri" w:hAnsi="Calibri"/>
                <w:sz w:val="22"/>
              </w:rPr>
              <w:t>88.5%</w:t>
            </w:r>
          </w:p>
        </w:tc>
        <w:tc>
          <w:tcPr>
            <w:tcW w:type="dxa" w:w="1234"/>
          </w:tcPr>
          <w:p>
            <w:r>
              <w:rPr>
                <w:rFonts w:ascii="Calibri" w:hAnsi="Calibri"/>
                <w:sz w:val="22"/>
              </w:rPr>
              <w:t>88.4%</w:t>
            </w:r>
          </w:p>
        </w:tc>
        <w:tc>
          <w:tcPr>
            <w:tcW w:type="dxa" w:w="1234"/>
          </w:tcPr>
          <w:p>
            <w:r>
              <w:rPr>
                <w:rFonts w:ascii="Calibri" w:hAnsi="Calibri"/>
                <w:sz w:val="22"/>
              </w:rPr>
              <w:t>88.8%</w:t>
            </w:r>
          </w:p>
        </w:tc>
        <w:tc>
          <w:tcPr>
            <w:tcW w:type="dxa" w:w="1234"/>
          </w:tcPr>
          <w:p>
            <w:r>
              <w:rPr>
                <w:rFonts w:ascii="Calibri" w:hAnsi="Calibri"/>
                <w:sz w:val="22"/>
              </w:rPr>
              <w:t>+40 bps</w:t>
            </w:r>
          </w:p>
        </w:tc>
        <w:tc>
          <w:tcPr>
            <w:tcW w:type="dxa" w:w="1234"/>
          </w:tcPr>
          <w:p>
            <w:r>
              <w:rPr>
                <w:rFonts w:ascii="Calibri" w:hAnsi="Calibri"/>
                <w:sz w:val="22"/>
              </w:rPr>
              <w:t>GW&amp;S targeting lower-90s; Reinsurance improving</w:t>
            </w:r>
          </w:p>
        </w:tc>
        <w:tc>
          <w:tcPr>
            <w:tcW w:type="dxa" w:w="1234"/>
          </w:tcPr>
          <w:p>
            <w:r>
              <w:rPr>
                <w:rFonts w:ascii="Calibri" w:hAnsi="Calibri"/>
                <w:sz w:val="22"/>
              </w:rPr>
              <w:t>Broadly in line</w:t>
            </w:r>
          </w:p>
        </w:tc>
      </w:tr>
      <w:tr>
        <w:tc>
          <w:tcPr>
            <w:tcW w:type="dxa" w:w="1234"/>
          </w:tcPr>
          <w:p>
            <w:r>
              <w:rPr>
                <w:rFonts w:ascii="Calibri" w:hAnsi="Calibri"/>
                <w:sz w:val="22"/>
              </w:rPr>
              <w:t>Total Cat Loss Ratio (%)</w:t>
            </w:r>
          </w:p>
        </w:tc>
        <w:tc>
          <w:tcPr>
            <w:tcW w:type="dxa" w:w="1234"/>
          </w:tcPr>
          <w:p>
            <w:r>
              <w:rPr>
                <w:rFonts w:ascii="Calibri" w:hAnsi="Calibri"/>
                <w:sz w:val="22"/>
              </w:rPr>
              <w:t>3.6%</w:t>
            </w:r>
          </w:p>
        </w:tc>
        <w:tc>
          <w:tcPr>
            <w:tcW w:type="dxa" w:w="1234"/>
          </w:tcPr>
          <w:p>
            <w:r>
              <w:rPr>
                <w:rFonts w:ascii="Calibri" w:hAnsi="Calibri"/>
                <w:sz w:val="22"/>
              </w:rPr>
              <w:t>0.5%</w:t>
            </w:r>
          </w:p>
        </w:tc>
        <w:tc>
          <w:tcPr>
            <w:tcW w:type="dxa" w:w="1234"/>
          </w:tcPr>
          <w:p>
            <w:r>
              <w:rPr>
                <w:rFonts w:ascii="Calibri" w:hAnsi="Calibri"/>
                <w:sz w:val="22"/>
              </w:rPr>
              <w:t>3.2%</w:t>
            </w:r>
          </w:p>
        </w:tc>
        <w:tc>
          <w:tcPr>
            <w:tcW w:type="dxa" w:w="1234"/>
          </w:tcPr>
          <w:p>
            <w:r>
              <w:rPr>
                <w:rFonts w:ascii="Calibri" w:hAnsi="Calibri"/>
                <w:sz w:val="22"/>
              </w:rPr>
              <w:t>+270 bps</w:t>
            </w:r>
          </w:p>
        </w:tc>
        <w:tc>
          <w:tcPr>
            <w:tcW w:type="dxa" w:w="1234"/>
          </w:tcPr>
          <w:p>
            <w:r>
              <w:rPr>
                <w:rFonts w:ascii="Calibri" w:hAnsi="Calibri"/>
                <w:sz w:val="22"/>
              </w:rPr>
              <w:t>Cat load ~7% annually; Q2 typically lower cat quarter</w:t>
            </w:r>
          </w:p>
        </w:tc>
        <w:tc>
          <w:tcPr>
            <w:tcW w:type="dxa" w:w="1234"/>
          </w:tcPr>
          <w:p>
            <w:r>
              <w:rPr>
                <w:rFonts w:ascii="Calibri" w:hAnsi="Calibri"/>
                <w:sz w:val="22"/>
              </w:rPr>
              <w:t>Consensus below annual load; assumes benign Q2</w:t>
            </w:r>
          </w:p>
        </w:tc>
      </w:tr>
      <w:tr>
        <w:tc>
          <w:tcPr>
            <w:tcW w:type="dxa" w:w="1234"/>
          </w:tcPr>
          <w:p>
            <w:r>
              <w:rPr>
                <w:rFonts w:ascii="Calibri" w:hAnsi="Calibri"/>
                <w:sz w:val="22"/>
              </w:rPr>
              <w:t>Total Revenues</w:t>
            </w:r>
          </w:p>
        </w:tc>
        <w:tc>
          <w:tcPr>
            <w:tcW w:type="dxa" w:w="1234"/>
          </w:tcPr>
          <w:p>
            <w:r>
              <w:rPr>
                <w:rFonts w:ascii="Calibri" w:hAnsi="Calibri"/>
                <w:sz w:val="22"/>
              </w:rPr>
              <w:t>$4.068B</w:t>
            </w:r>
          </w:p>
        </w:tc>
        <w:tc>
          <w:tcPr>
            <w:tcW w:type="dxa" w:w="1234"/>
          </w:tcPr>
          <w:p>
            <w:r>
              <w:rPr>
                <w:rFonts w:ascii="Calibri" w:hAnsi="Calibri"/>
                <w:sz w:val="22"/>
              </w:rPr>
              <w:t>$4.492B</w:t>
            </w:r>
          </w:p>
        </w:tc>
        <w:tc>
          <w:tcPr>
            <w:tcW w:type="dxa" w:w="1234"/>
          </w:tcPr>
          <w:p>
            <w:r>
              <w:rPr>
                <w:rFonts w:ascii="Calibri" w:hAnsi="Calibri"/>
                <w:sz w:val="22"/>
              </w:rPr>
              <w:t>$4.033B</w:t>
            </w:r>
          </w:p>
        </w:tc>
        <w:tc>
          <w:tcPr>
            <w:tcW w:type="dxa" w:w="1234"/>
          </w:tcPr>
          <w:p>
            <w:r>
              <w:rPr>
                <w:rFonts w:ascii="Calibri" w:hAnsi="Calibri"/>
                <w:sz w:val="22"/>
              </w:rPr>
              <w:t>-10.2%</w:t>
            </w:r>
          </w:p>
        </w:tc>
        <w:tc>
          <w:tcPr>
            <w:tcW w:type="dxa" w:w="1234"/>
          </w:tcPr>
          <w:p>
            <w:r>
              <w:rPr>
                <w:rFonts w:ascii="Calibri" w:hAnsi="Calibri"/>
                <w:sz w:val="22"/>
              </w:rPr>
              <w:t>Declining due to retail exit; FY2026 ~$15.95B</w:t>
            </w:r>
          </w:p>
        </w:tc>
        <w:tc>
          <w:tcPr>
            <w:tcW w:type="dxa" w:w="1234"/>
          </w:tcPr>
          <w:p>
            <w:r>
              <w:rPr>
                <w:rFonts w:ascii="Calibri" w:hAnsi="Calibri"/>
                <w:sz w:val="22"/>
              </w:rPr>
              <w:t>Consensus reflects deliberate top-line contraction</w:t>
            </w:r>
          </w:p>
        </w:tc>
      </w:tr>
    </w:tbl>
    <w:p>
      <w:r>
        <w:rPr>
          <w:rFonts w:ascii="Calibri" w:hAnsi="Calibri"/>
          <w:i/>
          <w:color w:val="525866"/>
          <w:sz w:val="22"/>
        </w:rPr>
        <w:t>Source: Visible Alpha consensus and actuals data. All consensus figures as of July 28, 2026.</w:t>
      </w:r>
    </w:p>
    <w:p>
      <w:r>
        <w:rPr>
          <w:rFonts w:ascii="Calibri" w:hAnsi="Calibri"/>
          <w:b/>
          <w:color w:val="525866"/>
          <w:sz w:val="22"/>
        </w:rPr>
        <w:t>Table 2 — Beat/Miss History: Operating EPS &amp; Combined Ratio (Last 8 Quarters)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Quarter</w:t>
            </w:r>
          </w:p>
        </w:tc>
        <w:tc>
          <w:tcPr>
            <w:tcW w:type="dxa" w:w="1080"/>
            <w:shd w:val="clear" w:color="auto" w:fill="3B4259"/>
          </w:tcPr>
          <w:p>
            <w:r>
              <w:rPr>
                <w:rFonts w:ascii="Calibri" w:hAnsi="Calibri"/>
                <w:b/>
                <w:color w:val="FFFFFF"/>
                <w:sz w:val="22"/>
              </w:rPr>
              <w:t>Op. EPS Reported</w:t>
            </w:r>
          </w:p>
        </w:tc>
        <w:tc>
          <w:tcPr>
            <w:tcW w:type="dxa" w:w="1080"/>
            <w:shd w:val="clear" w:color="auto" w:fill="3B4259"/>
          </w:tcPr>
          <w:p>
            <w:r>
              <w:rPr>
                <w:rFonts w:ascii="Calibri" w:hAnsi="Calibri"/>
                <w:b/>
                <w:color w:val="FFFFFF"/>
                <w:sz w:val="22"/>
              </w:rPr>
              <w:t>Op. EPS Consensus</w:t>
            </w:r>
          </w:p>
        </w:tc>
        <w:tc>
          <w:tcPr>
            <w:tcW w:type="dxa" w:w="1080"/>
            <w:shd w:val="clear" w:color="auto" w:fill="3B4259"/>
          </w:tcPr>
          <w:p>
            <w:r>
              <w:rPr>
                <w:rFonts w:ascii="Calibri" w:hAnsi="Calibri"/>
                <w:b/>
                <w:color w:val="FFFFFF"/>
                <w:sz w:val="22"/>
              </w:rPr>
              <w:t>EPS Surprise %</w:t>
            </w:r>
          </w:p>
        </w:tc>
        <w:tc>
          <w:tcPr>
            <w:tcW w:type="dxa" w:w="1080"/>
            <w:shd w:val="clear" w:color="auto" w:fill="3B4259"/>
          </w:tcPr>
          <w:p>
            <w:r>
              <w:rPr>
                <w:rFonts w:ascii="Calibri" w:hAnsi="Calibri"/>
                <w:b/>
                <w:color w:val="FFFFFF"/>
                <w:sz w:val="22"/>
              </w:rPr>
              <w:t>EPS Result</w:t>
            </w:r>
          </w:p>
        </w:tc>
        <w:tc>
          <w:tcPr>
            <w:tcW w:type="dxa" w:w="1080"/>
            <w:shd w:val="clear" w:color="auto" w:fill="3B4259"/>
          </w:tcPr>
          <w:p>
            <w:r>
              <w:rPr>
                <w:rFonts w:ascii="Calibri" w:hAnsi="Calibri"/>
                <w:b/>
                <w:color w:val="FFFFFF"/>
                <w:sz w:val="22"/>
              </w:rPr>
              <w:t>Comb. Ratio Reported</w:t>
            </w:r>
          </w:p>
        </w:tc>
        <w:tc>
          <w:tcPr>
            <w:tcW w:type="dxa" w:w="1080"/>
            <w:shd w:val="clear" w:color="auto" w:fill="3B4259"/>
          </w:tcPr>
          <w:p>
            <w:r>
              <w:rPr>
                <w:rFonts w:ascii="Calibri" w:hAnsi="Calibri"/>
                <w:b/>
                <w:color w:val="FFFFFF"/>
                <w:sz w:val="22"/>
              </w:rPr>
              <w:t>Comb. Ratio Consensus</w:t>
            </w:r>
          </w:p>
        </w:tc>
        <w:tc>
          <w:tcPr>
            <w:tcW w:type="dxa" w:w="1080"/>
            <w:shd w:val="clear" w:color="auto" w:fill="3B4259"/>
          </w:tcPr>
          <w:p>
            <w:r>
              <w:rPr>
                <w:rFonts w:ascii="Calibri" w:hAnsi="Calibri"/>
                <w:b/>
                <w:color w:val="FFFFFF"/>
                <w:sz w:val="22"/>
              </w:rPr>
              <w:t>CR Surprise</w:t>
            </w:r>
          </w:p>
        </w:tc>
      </w:tr>
      <w:tr>
        <w:tc>
          <w:tcPr>
            <w:tcW w:type="dxa" w:w="1080"/>
          </w:tcPr>
          <w:p>
            <w:r>
              <w:rPr>
                <w:rFonts w:ascii="Calibri" w:hAnsi="Calibri"/>
                <w:sz w:val="22"/>
              </w:rPr>
              <w:t>Q1 2026</w:t>
            </w:r>
          </w:p>
        </w:tc>
        <w:tc>
          <w:tcPr>
            <w:tcW w:type="dxa" w:w="1080"/>
          </w:tcPr>
          <w:p>
            <w:r>
              <w:rPr>
                <w:rFonts w:ascii="Calibri" w:hAnsi="Calibri"/>
                <w:b/>
                <w:color w:val="30A46C"/>
                <w:sz w:val="22"/>
              </w:rPr>
              <w:t>$16.08</w:t>
            </w:r>
          </w:p>
        </w:tc>
        <w:tc>
          <w:tcPr>
            <w:tcW w:type="dxa" w:w="1080"/>
          </w:tcPr>
          <w:p>
            <w:r>
              <w:rPr>
                <w:rFonts w:ascii="Calibri" w:hAnsi="Calibri"/>
                <w:sz w:val="22"/>
              </w:rPr>
              <w:t>$13.95</w:t>
            </w:r>
          </w:p>
        </w:tc>
        <w:tc>
          <w:tcPr>
            <w:tcW w:type="dxa" w:w="1080"/>
          </w:tcPr>
          <w:p>
            <w:r>
              <w:rPr>
                <w:rFonts w:ascii="Calibri" w:hAnsi="Calibri"/>
                <w:b/>
                <w:color w:val="30A46C"/>
                <w:sz w:val="22"/>
              </w:rPr>
              <w:t>+15.3%</w:t>
            </w:r>
          </w:p>
        </w:tc>
        <w:tc>
          <w:tcPr>
            <w:tcW w:type="dxa" w:w="1080"/>
          </w:tcPr>
          <w:p>
            <w:r>
              <w:rPr>
                <w:rFonts w:ascii="Calibri" w:hAnsi="Calibri"/>
                <w:sz w:val="22"/>
              </w:rPr>
              <w:t>BEAT</w:t>
            </w:r>
          </w:p>
        </w:tc>
        <w:tc>
          <w:tcPr>
            <w:tcW w:type="dxa" w:w="1080"/>
          </w:tcPr>
          <w:p>
            <w:r>
              <w:rPr>
                <w:rFonts w:ascii="Calibri" w:hAnsi="Calibri"/>
                <w:b/>
                <w:color w:val="30A46C"/>
                <w:sz w:val="22"/>
              </w:rPr>
              <w:t>91.2%</w:t>
            </w:r>
          </w:p>
        </w:tc>
        <w:tc>
          <w:tcPr>
            <w:tcW w:type="dxa" w:w="1080"/>
          </w:tcPr>
          <w:p>
            <w:r>
              <w:rPr>
                <w:rFonts w:ascii="Calibri" w:hAnsi="Calibri"/>
                <w:sz w:val="22"/>
              </w:rPr>
              <w:t>92.9%</w:t>
            </w:r>
          </w:p>
        </w:tc>
        <w:tc>
          <w:tcPr>
            <w:tcW w:type="dxa" w:w="1080"/>
          </w:tcPr>
          <w:p>
            <w:r>
              <w:rPr>
                <w:rFonts w:ascii="Calibri" w:hAnsi="Calibri"/>
                <w:sz w:val="22"/>
              </w:rPr>
              <w:t>Better (170 bps)</w:t>
            </w:r>
          </w:p>
        </w:tc>
      </w:tr>
      <w:tr>
        <w:tc>
          <w:tcPr>
            <w:tcW w:type="dxa" w:w="1080"/>
          </w:tcPr>
          <w:p>
            <w:r>
              <w:rPr>
                <w:rFonts w:ascii="Calibri" w:hAnsi="Calibri"/>
                <w:sz w:val="22"/>
              </w:rPr>
              <w:t>Q4 2025</w:t>
            </w:r>
          </w:p>
        </w:tc>
        <w:tc>
          <w:tcPr>
            <w:tcW w:type="dxa" w:w="1080"/>
          </w:tcPr>
          <w:p>
            <w:r>
              <w:rPr>
                <w:rFonts w:ascii="Calibri" w:hAnsi="Calibri"/>
                <w:sz w:val="22"/>
              </w:rPr>
              <w:t>$13.24</w:t>
            </w:r>
          </w:p>
        </w:tc>
        <w:tc>
          <w:tcPr>
            <w:tcW w:type="dxa" w:w="1080"/>
          </w:tcPr>
          <w:p>
            <w:r>
              <w:rPr>
                <w:rFonts w:ascii="Calibri" w:hAnsi="Calibri"/>
                <w:sz w:val="22"/>
              </w:rPr>
              <w:t>$13.61</w:t>
            </w:r>
          </w:p>
        </w:tc>
        <w:tc>
          <w:tcPr>
            <w:tcW w:type="dxa" w:w="1080"/>
          </w:tcPr>
          <w:p>
            <w:r>
              <w:rPr>
                <w:rFonts w:ascii="Calibri" w:hAnsi="Calibri"/>
                <w:b/>
                <w:color w:val="E5484D"/>
                <w:sz w:val="22"/>
              </w:rPr>
              <w:t>-2.7%</w:t>
            </w:r>
          </w:p>
        </w:tc>
        <w:tc>
          <w:tcPr>
            <w:tcW w:type="dxa" w:w="1080"/>
          </w:tcPr>
          <w:p>
            <w:r>
              <w:rPr>
                <w:rFonts w:ascii="Calibri" w:hAnsi="Calibri"/>
                <w:sz w:val="22"/>
              </w:rPr>
              <w:t>MISS</w:t>
            </w:r>
          </w:p>
        </w:tc>
        <w:tc>
          <w:tcPr>
            <w:tcW w:type="dxa" w:w="1080"/>
          </w:tcPr>
          <w:p>
            <w:r>
              <w:rPr>
                <w:rFonts w:ascii="Calibri" w:hAnsi="Calibri"/>
                <w:b/>
                <w:color w:val="E5484D"/>
                <w:sz w:val="22"/>
              </w:rPr>
              <w:t>98.4%</w:t>
            </w:r>
          </w:p>
        </w:tc>
        <w:tc>
          <w:tcPr>
            <w:tcW w:type="dxa" w:w="1080"/>
          </w:tcPr>
          <w:p>
            <w:r>
              <w:rPr>
                <w:rFonts w:ascii="Calibri" w:hAnsi="Calibri"/>
                <w:sz w:val="22"/>
              </w:rPr>
              <w:t>96.5%</w:t>
            </w:r>
          </w:p>
        </w:tc>
        <w:tc>
          <w:tcPr>
            <w:tcW w:type="dxa" w:w="1080"/>
          </w:tcPr>
          <w:p>
            <w:r>
              <w:rPr>
                <w:rFonts w:ascii="Calibri" w:hAnsi="Calibri"/>
                <w:sz w:val="22"/>
              </w:rPr>
              <w:t>Worse (190 bps)</w:t>
            </w:r>
          </w:p>
        </w:tc>
      </w:tr>
      <w:tr>
        <w:tc>
          <w:tcPr>
            <w:tcW w:type="dxa" w:w="1080"/>
          </w:tcPr>
          <w:p>
            <w:r>
              <w:rPr>
                <w:rFonts w:ascii="Calibri" w:hAnsi="Calibri"/>
                <w:sz w:val="22"/>
              </w:rPr>
              <w:t>Q3 2025</w:t>
            </w:r>
          </w:p>
        </w:tc>
        <w:tc>
          <w:tcPr>
            <w:tcW w:type="dxa" w:w="1080"/>
          </w:tcPr>
          <w:p>
            <w:r>
              <w:rPr>
                <w:rFonts w:ascii="Calibri" w:hAnsi="Calibri"/>
                <w:sz w:val="22"/>
              </w:rPr>
              <w:t>$7.55</w:t>
            </w:r>
          </w:p>
        </w:tc>
        <w:tc>
          <w:tcPr>
            <w:tcW w:type="dxa" w:w="1080"/>
          </w:tcPr>
          <w:p>
            <w:r>
              <w:rPr>
                <w:rFonts w:ascii="Calibri" w:hAnsi="Calibri"/>
                <w:sz w:val="22"/>
              </w:rPr>
              <w:t>$14.58</w:t>
            </w:r>
          </w:p>
        </w:tc>
        <w:tc>
          <w:tcPr>
            <w:tcW w:type="dxa" w:w="1080"/>
          </w:tcPr>
          <w:p>
            <w:r>
              <w:rPr>
                <w:rFonts w:ascii="Calibri" w:hAnsi="Calibri"/>
                <w:b/>
                <w:color w:val="E5484D"/>
                <w:sz w:val="22"/>
              </w:rPr>
              <w:t>-48.2%</w:t>
            </w:r>
          </w:p>
        </w:tc>
        <w:tc>
          <w:tcPr>
            <w:tcW w:type="dxa" w:w="1080"/>
          </w:tcPr>
          <w:p>
            <w:r>
              <w:rPr>
                <w:rFonts w:ascii="Calibri" w:hAnsi="Calibri"/>
                <w:sz w:val="22"/>
              </w:rPr>
              <w:t>MISS</w:t>
            </w:r>
          </w:p>
        </w:tc>
        <w:tc>
          <w:tcPr>
            <w:tcW w:type="dxa" w:w="1080"/>
          </w:tcPr>
          <w:p>
            <w:r>
              <w:rPr>
                <w:rFonts w:ascii="Calibri" w:hAnsi="Calibri"/>
                <w:b/>
                <w:color w:val="E5484D"/>
                <w:sz w:val="22"/>
              </w:rPr>
              <w:t>103.4%</w:t>
            </w:r>
          </w:p>
        </w:tc>
        <w:tc>
          <w:tcPr>
            <w:tcW w:type="dxa" w:w="1080"/>
          </w:tcPr>
          <w:p>
            <w:r>
              <w:rPr>
                <w:rFonts w:ascii="Calibri" w:hAnsi="Calibri"/>
                <w:sz w:val="22"/>
              </w:rPr>
              <w:t>92.9%</w:t>
            </w:r>
          </w:p>
        </w:tc>
        <w:tc>
          <w:tcPr>
            <w:tcW w:type="dxa" w:w="1080"/>
          </w:tcPr>
          <w:p>
            <w:r>
              <w:rPr>
                <w:rFonts w:ascii="Calibri" w:hAnsi="Calibri"/>
                <w:sz w:val="22"/>
              </w:rPr>
              <w:t>Worse (1050 bps)</w:t>
            </w:r>
          </w:p>
        </w:tc>
      </w:tr>
      <w:tr>
        <w:tc>
          <w:tcPr>
            <w:tcW w:type="dxa" w:w="1080"/>
          </w:tcPr>
          <w:p>
            <w:r>
              <w:rPr>
                <w:rFonts w:ascii="Calibri" w:hAnsi="Calibri"/>
                <w:sz w:val="22"/>
              </w:rPr>
              <w:t>Q2 2025</w:t>
            </w:r>
          </w:p>
        </w:tc>
        <w:tc>
          <w:tcPr>
            <w:tcW w:type="dxa" w:w="1080"/>
          </w:tcPr>
          <w:p>
            <w:r>
              <w:rPr>
                <w:rFonts w:ascii="Calibri" w:hAnsi="Calibri"/>
                <w:b/>
                <w:color w:val="30A46C"/>
                <w:sz w:val="22"/>
              </w:rPr>
              <w:t>$17.56</w:t>
            </w:r>
          </w:p>
        </w:tc>
        <w:tc>
          <w:tcPr>
            <w:tcW w:type="dxa" w:w="1080"/>
          </w:tcPr>
          <w:p>
            <w:r>
              <w:rPr>
                <w:rFonts w:ascii="Calibri" w:hAnsi="Calibri"/>
                <w:sz w:val="22"/>
              </w:rPr>
              <w:t>$15.00</w:t>
            </w:r>
          </w:p>
        </w:tc>
        <w:tc>
          <w:tcPr>
            <w:tcW w:type="dxa" w:w="1080"/>
          </w:tcPr>
          <w:p>
            <w:r>
              <w:rPr>
                <w:rFonts w:ascii="Calibri" w:hAnsi="Calibri"/>
                <w:b/>
                <w:color w:val="30A46C"/>
                <w:sz w:val="22"/>
              </w:rPr>
              <w:t>+17.1%</w:t>
            </w:r>
          </w:p>
        </w:tc>
        <w:tc>
          <w:tcPr>
            <w:tcW w:type="dxa" w:w="1080"/>
          </w:tcPr>
          <w:p>
            <w:r>
              <w:rPr>
                <w:rFonts w:ascii="Calibri" w:hAnsi="Calibri"/>
                <w:sz w:val="22"/>
              </w:rPr>
              <w:t>BEAT</w:t>
            </w:r>
          </w:p>
        </w:tc>
        <w:tc>
          <w:tcPr>
            <w:tcW w:type="dxa" w:w="1080"/>
          </w:tcPr>
          <w:p>
            <w:r>
              <w:rPr>
                <w:rFonts w:ascii="Calibri" w:hAnsi="Calibri"/>
                <w:b/>
                <w:color w:val="30A46C"/>
                <w:sz w:val="22"/>
              </w:rPr>
              <w:t>90.4%</w:t>
            </w:r>
          </w:p>
        </w:tc>
        <w:tc>
          <w:tcPr>
            <w:tcW w:type="dxa" w:w="1080"/>
          </w:tcPr>
          <w:p>
            <w:r>
              <w:rPr>
                <w:rFonts w:ascii="Calibri" w:hAnsi="Calibri"/>
                <w:sz w:val="22"/>
              </w:rPr>
              <w:t>91.9%</w:t>
            </w:r>
          </w:p>
        </w:tc>
        <w:tc>
          <w:tcPr>
            <w:tcW w:type="dxa" w:w="1080"/>
          </w:tcPr>
          <w:p>
            <w:r>
              <w:rPr>
                <w:rFonts w:ascii="Calibri" w:hAnsi="Calibri"/>
                <w:sz w:val="22"/>
              </w:rPr>
              <w:t>Better (150 bps)</w:t>
            </w:r>
          </w:p>
        </w:tc>
      </w:tr>
      <w:tr>
        <w:tc>
          <w:tcPr>
            <w:tcW w:type="dxa" w:w="1080"/>
          </w:tcPr>
          <w:p>
            <w:r>
              <w:rPr>
                <w:rFonts w:ascii="Calibri" w:hAnsi="Calibri"/>
                <w:sz w:val="22"/>
              </w:rPr>
              <w:t>Q1 2025</w:t>
            </w:r>
          </w:p>
        </w:tc>
        <w:tc>
          <w:tcPr>
            <w:tcW w:type="dxa" w:w="1080"/>
          </w:tcPr>
          <w:p>
            <w:r>
              <w:rPr>
                <w:rFonts w:ascii="Calibri" w:hAnsi="Calibri"/>
                <w:b/>
                <w:color w:val="E5484D"/>
                <w:sz w:val="22"/>
              </w:rPr>
              <w:t>$6.45</w:t>
            </w:r>
          </w:p>
        </w:tc>
        <w:tc>
          <w:tcPr>
            <w:tcW w:type="dxa" w:w="1080"/>
          </w:tcPr>
          <w:p>
            <w:r>
              <w:rPr>
                <w:rFonts w:ascii="Calibri" w:hAnsi="Calibri"/>
                <w:sz w:val="22"/>
              </w:rPr>
              <w:t>$7.63</w:t>
            </w:r>
          </w:p>
        </w:tc>
        <w:tc>
          <w:tcPr>
            <w:tcW w:type="dxa" w:w="1080"/>
          </w:tcPr>
          <w:p>
            <w:r>
              <w:rPr>
                <w:rFonts w:ascii="Calibri" w:hAnsi="Calibri"/>
                <w:b/>
                <w:color w:val="E5484D"/>
                <w:sz w:val="22"/>
              </w:rPr>
              <w:t>-15.5%</w:t>
            </w:r>
          </w:p>
        </w:tc>
        <w:tc>
          <w:tcPr>
            <w:tcW w:type="dxa" w:w="1080"/>
          </w:tcPr>
          <w:p>
            <w:r>
              <w:rPr>
                <w:rFonts w:ascii="Calibri" w:hAnsi="Calibri"/>
                <w:sz w:val="22"/>
              </w:rPr>
              <w:t>MISS</w:t>
            </w:r>
          </w:p>
        </w:tc>
        <w:tc>
          <w:tcPr>
            <w:tcW w:type="dxa" w:w="1080"/>
          </w:tcPr>
          <w:p>
            <w:r>
              <w:rPr>
                <w:rFonts w:ascii="Calibri" w:hAnsi="Calibri"/>
                <w:b/>
                <w:color w:val="E5484D"/>
                <w:sz w:val="22"/>
              </w:rPr>
              <w:t>102.7%</w:t>
            </w:r>
          </w:p>
        </w:tc>
        <w:tc>
          <w:tcPr>
            <w:tcW w:type="dxa" w:w="1080"/>
          </w:tcPr>
          <w:p>
            <w:r>
              <w:rPr>
                <w:rFonts w:ascii="Calibri" w:hAnsi="Calibri"/>
                <w:sz w:val="22"/>
              </w:rPr>
              <w:t>101.4%</w:t>
            </w:r>
          </w:p>
        </w:tc>
        <w:tc>
          <w:tcPr>
            <w:tcW w:type="dxa" w:w="1080"/>
          </w:tcPr>
          <w:p>
            <w:r>
              <w:rPr>
                <w:rFonts w:ascii="Calibri" w:hAnsi="Calibri"/>
                <w:sz w:val="22"/>
              </w:rPr>
              <w:t>Worse (130 bps)</w:t>
            </w:r>
          </w:p>
        </w:tc>
      </w:tr>
      <w:tr>
        <w:tc>
          <w:tcPr>
            <w:tcW w:type="dxa" w:w="1080"/>
          </w:tcPr>
          <w:p>
            <w:r>
              <w:rPr>
                <w:rFonts w:ascii="Calibri" w:hAnsi="Calibri"/>
                <w:sz w:val="22"/>
              </w:rPr>
              <w:t>Q4 2024</w:t>
            </w:r>
          </w:p>
        </w:tc>
        <w:tc>
          <w:tcPr>
            <w:tcW w:type="dxa" w:w="1080"/>
          </w:tcPr>
          <w:p>
            <w:r>
              <w:rPr>
                <w:rFonts w:ascii="Calibri" w:hAnsi="Calibri"/>
                <w:b/>
                <w:color w:val="E5484D"/>
                <w:sz w:val="22"/>
              </w:rPr>
              <w:t>-$18.39</w:t>
            </w:r>
          </w:p>
        </w:tc>
        <w:tc>
          <w:tcPr>
            <w:tcW w:type="dxa" w:w="1080"/>
          </w:tcPr>
          <w:p>
            <w:r>
              <w:rPr>
                <w:rFonts w:ascii="Calibri" w:hAnsi="Calibri"/>
                <w:sz w:val="22"/>
              </w:rPr>
              <w:t>-$16.06</w:t>
            </w:r>
          </w:p>
        </w:tc>
        <w:tc>
          <w:tcPr>
            <w:tcW w:type="dxa" w:w="1080"/>
          </w:tcPr>
          <w:p>
            <w:r>
              <w:rPr>
                <w:rFonts w:ascii="Calibri" w:hAnsi="Calibri"/>
                <w:b/>
                <w:color w:val="E5484D"/>
                <w:sz w:val="22"/>
              </w:rPr>
              <w:t>N/M (large loss qtr)</w:t>
            </w:r>
          </w:p>
        </w:tc>
        <w:tc>
          <w:tcPr>
            <w:tcW w:type="dxa" w:w="1080"/>
          </w:tcPr>
          <w:p>
            <w:r>
              <w:rPr>
                <w:rFonts w:ascii="Calibri" w:hAnsi="Calibri"/>
                <w:sz w:val="22"/>
              </w:rPr>
              <w:t>MISS</w:t>
            </w:r>
          </w:p>
        </w:tc>
        <w:tc>
          <w:tcPr>
            <w:tcW w:type="dxa" w:w="1080"/>
          </w:tcPr>
          <w:p>
            <w:r>
              <w:rPr>
                <w:rFonts w:ascii="Calibri" w:hAnsi="Calibri"/>
                <w:b/>
                <w:color w:val="E5484D"/>
                <w:sz w:val="22"/>
              </w:rPr>
              <w:t>135.5%</w:t>
            </w:r>
          </w:p>
        </w:tc>
        <w:tc>
          <w:tcPr>
            <w:tcW w:type="dxa" w:w="1080"/>
          </w:tcPr>
          <w:p>
            <w:r>
              <w:rPr>
                <w:rFonts w:ascii="Calibri" w:hAnsi="Calibri"/>
                <w:sz w:val="22"/>
              </w:rPr>
              <w:t>134.0%</w:t>
            </w:r>
          </w:p>
        </w:tc>
        <w:tc>
          <w:tcPr>
            <w:tcW w:type="dxa" w:w="1080"/>
          </w:tcPr>
          <w:p>
            <w:r>
              <w:rPr>
                <w:rFonts w:ascii="Calibri" w:hAnsi="Calibri"/>
                <w:sz w:val="22"/>
              </w:rPr>
              <w:t>Worse (150 bps)</w:t>
            </w:r>
          </w:p>
        </w:tc>
      </w:tr>
      <w:tr>
        <w:tc>
          <w:tcPr>
            <w:tcW w:type="dxa" w:w="1080"/>
          </w:tcPr>
          <w:p>
            <w:r>
              <w:rPr>
                <w:rFonts w:ascii="Calibri" w:hAnsi="Calibri"/>
                <w:sz w:val="22"/>
              </w:rPr>
              <w:t>Q3 2024</w:t>
            </w:r>
          </w:p>
        </w:tc>
        <w:tc>
          <w:tcPr>
            <w:tcW w:type="dxa" w:w="1080"/>
          </w:tcPr>
          <w:p>
            <w:r>
              <w:rPr>
                <w:rFonts w:ascii="Calibri" w:hAnsi="Calibri"/>
                <w:b/>
                <w:color w:val="30A46C"/>
                <w:sz w:val="22"/>
              </w:rPr>
              <w:t>$14.62</w:t>
            </w:r>
          </w:p>
        </w:tc>
        <w:tc>
          <w:tcPr>
            <w:tcW w:type="dxa" w:w="1080"/>
          </w:tcPr>
          <w:p>
            <w:r>
              <w:rPr>
                <w:rFonts w:ascii="Calibri" w:hAnsi="Calibri"/>
                <w:sz w:val="22"/>
              </w:rPr>
              <w:t>$12.08</w:t>
            </w:r>
          </w:p>
        </w:tc>
        <w:tc>
          <w:tcPr>
            <w:tcW w:type="dxa" w:w="1080"/>
          </w:tcPr>
          <w:p>
            <w:r>
              <w:rPr>
                <w:rFonts w:ascii="Calibri" w:hAnsi="Calibri"/>
                <w:b/>
                <w:color w:val="30A46C"/>
                <w:sz w:val="22"/>
              </w:rPr>
              <w:t>+21.0%</w:t>
            </w:r>
          </w:p>
        </w:tc>
        <w:tc>
          <w:tcPr>
            <w:tcW w:type="dxa" w:w="1080"/>
          </w:tcPr>
          <w:p>
            <w:r>
              <w:rPr>
                <w:rFonts w:ascii="Calibri" w:hAnsi="Calibri"/>
                <w:sz w:val="22"/>
              </w:rPr>
              <w:t>BEAT</w:t>
            </w:r>
          </w:p>
        </w:tc>
        <w:tc>
          <w:tcPr>
            <w:tcW w:type="dxa" w:w="1080"/>
          </w:tcPr>
          <w:p>
            <w:r>
              <w:rPr>
                <w:rFonts w:ascii="Calibri" w:hAnsi="Calibri"/>
                <w:b/>
                <w:color w:val="30A46C"/>
                <w:sz w:val="22"/>
              </w:rPr>
              <w:t>93.1%</w:t>
            </w:r>
          </w:p>
        </w:tc>
        <w:tc>
          <w:tcPr>
            <w:tcW w:type="dxa" w:w="1080"/>
          </w:tcPr>
          <w:p>
            <w:r>
              <w:rPr>
                <w:rFonts w:ascii="Calibri" w:hAnsi="Calibri"/>
                <w:sz w:val="22"/>
              </w:rPr>
              <w:t>96.3%</w:t>
            </w:r>
          </w:p>
        </w:tc>
        <w:tc>
          <w:tcPr>
            <w:tcW w:type="dxa" w:w="1080"/>
          </w:tcPr>
          <w:p>
            <w:r>
              <w:rPr>
                <w:rFonts w:ascii="Calibri" w:hAnsi="Calibri"/>
                <w:sz w:val="22"/>
              </w:rPr>
              <w:t>Better (320 bps)</w:t>
            </w:r>
          </w:p>
        </w:tc>
      </w:tr>
      <w:tr>
        <w:tc>
          <w:tcPr>
            <w:tcW w:type="dxa" w:w="1080"/>
          </w:tcPr>
          <w:p>
            <w:r>
              <w:rPr>
                <w:rFonts w:ascii="Calibri" w:hAnsi="Calibri"/>
                <w:sz w:val="22"/>
              </w:rPr>
              <w:t>Q2 2024</w:t>
            </w:r>
          </w:p>
        </w:tc>
        <w:tc>
          <w:tcPr>
            <w:tcW w:type="dxa" w:w="1080"/>
          </w:tcPr>
          <w:p>
            <w:r>
              <w:rPr>
                <w:rFonts w:ascii="Calibri" w:hAnsi="Calibri"/>
                <w:b/>
                <w:color w:val="30A46C"/>
                <w:sz w:val="22"/>
              </w:rPr>
              <w:t>$16.85</w:t>
            </w:r>
          </w:p>
        </w:tc>
        <w:tc>
          <w:tcPr>
            <w:tcW w:type="dxa" w:w="1080"/>
          </w:tcPr>
          <w:p>
            <w:r>
              <w:rPr>
                <w:rFonts w:ascii="Calibri" w:hAnsi="Calibri"/>
                <w:sz w:val="22"/>
              </w:rPr>
              <w:t>$16.66</w:t>
            </w:r>
          </w:p>
        </w:tc>
        <w:tc>
          <w:tcPr>
            <w:tcW w:type="dxa" w:w="1080"/>
          </w:tcPr>
          <w:p>
            <w:r>
              <w:rPr>
                <w:rFonts w:ascii="Calibri" w:hAnsi="Calibri"/>
                <w:b/>
                <w:color w:val="30A46C"/>
                <w:sz w:val="22"/>
              </w:rPr>
              <w:t>+1.1%</w:t>
            </w:r>
          </w:p>
        </w:tc>
        <w:tc>
          <w:tcPr>
            <w:tcW w:type="dxa" w:w="1080"/>
          </w:tcPr>
          <w:p>
            <w:r>
              <w:rPr>
                <w:rFonts w:ascii="Calibri" w:hAnsi="Calibri"/>
                <w:sz w:val="22"/>
              </w:rPr>
              <w:t>BEAT</w:t>
            </w:r>
          </w:p>
        </w:tc>
        <w:tc>
          <w:tcPr>
            <w:tcW w:type="dxa" w:w="1080"/>
          </w:tcPr>
          <w:p>
            <w:r>
              <w:rPr>
                <w:rFonts w:ascii="Calibri" w:hAnsi="Calibri"/>
                <w:b/>
                <w:color w:val="30A46C"/>
                <w:sz w:val="22"/>
              </w:rPr>
              <w:t>90.3%</w:t>
            </w:r>
          </w:p>
        </w:tc>
        <w:tc>
          <w:tcPr>
            <w:tcW w:type="dxa" w:w="1080"/>
          </w:tcPr>
          <w:p>
            <w:r>
              <w:rPr>
                <w:rFonts w:ascii="Calibri" w:hAnsi="Calibri"/>
                <w:sz w:val="22"/>
              </w:rPr>
              <w:t>89.7%</w:t>
            </w:r>
          </w:p>
        </w:tc>
        <w:tc>
          <w:tcPr>
            <w:tcW w:type="dxa" w:w="1080"/>
          </w:tcPr>
          <w:p>
            <w:r>
              <w:rPr>
                <w:rFonts w:ascii="Calibri" w:hAnsi="Calibri"/>
                <w:sz w:val="22"/>
              </w:rPr>
              <w:t>Worse (60 bps)</w:t>
            </w:r>
          </w:p>
        </w:tc>
      </w:tr>
    </w:tbl>
    <w:p>
      <w:r>
        <w:rPr>
          <w:rFonts w:ascii="Calibri" w:hAnsi="Calibri"/>
          <w:i/>
          <w:color w:val="525866"/>
          <w:sz w:val="22"/>
        </w:rPr>
        <w:t>Source: Visible Alpha consensus and actuals data.</w:t>
      </w:r>
    </w:p>
    <w:p>
      <w:r>
        <w:rPr>
          <w:rFonts w:ascii="Calibri" w:hAnsi="Calibri"/>
          <w:b/>
          <w:color w:val="525866"/>
          <w:sz w:val="22"/>
        </w:rPr>
        <w:t xml:space="preserve">Pattern: </w:t>
      </w:r>
      <w:r>
        <w:rPr>
          <w:rFonts w:ascii="Calibri" w:hAnsi="Calibri"/>
          <w:color w:val="525866"/>
          <w:sz w:val="22"/>
        </w:rPr>
        <w:t>EG has beaten operating EPS in 4 of the last 8 quarters, with misses concentrated in quarters with elevated catastrophe or reserve charges (Q4 2024, Q3 2025, Q1 2025); the two most recent clean quarters (Q2 2025, Q1 2026) were both significant beats, suggesting the underlying business is tracking above consensus when cat/reserve noise is absent.</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No formal guidance revisions since the Q1 2026 earnings call (April 29, 2026), but the launch of Annapurna Re (June 17) and the Colombia sale announcement (May 19) represent meaningful strategic updates. Management tone remains confident on underwriting trajectory while explicitly cautious on property cat pricing and Baltimore Bridge reserve development.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Share Repurchase Floor (Quarterly)</w:t>
            </w:r>
          </w:p>
        </w:tc>
        <w:tc>
          <w:tcPr>
            <w:tcW w:type="dxa" w:w="1728"/>
          </w:tcPr>
          <w:p>
            <w:r>
              <w:rPr>
                <w:rFonts w:ascii="Calibri" w:hAnsi="Calibri"/>
                <w:sz w:val="22"/>
              </w:rPr>
              <w:t>Raised to $300M/quarter (from $200M), effective Q2 2026, absent major external dislocation</w:t>
            </w:r>
          </w:p>
        </w:tc>
        <w:tc>
          <w:tcPr>
            <w:tcW w:type="dxa" w:w="1728"/>
          </w:tcPr>
          <w:p>
            <w:r>
              <w:rPr>
                <w:rFonts w:ascii="Calibri" w:hAnsi="Calibri"/>
                <w:sz w:val="22"/>
              </w:rPr>
              <w:t>—</w:t>
            </w:r>
          </w:p>
        </w:tc>
        <w:tc>
          <w:tcPr>
            <w:tcW w:type="dxa" w:w="1728"/>
          </w:tcPr>
          <w:p>
            <w:r>
              <w:rPr>
                <w:rFonts w:ascii="Calibri" w:hAnsi="Calibri"/>
                <w:sz w:val="22"/>
              </w:rPr>
              <w:t>Elevated payout ratio expected for FY2026</w:t>
            </w:r>
          </w:p>
        </w:tc>
        <w:tc>
          <w:tcPr>
            <w:tcW w:type="dxa" w:w="1728"/>
          </w:tcPr>
          <w:p>
            <w:r>
              <w:rPr>
                <w:rFonts w:ascii="Calibri" w:hAnsi="Calibri"/>
                <w:sz w:val="22"/>
              </w:rPr>
              <w:t>↑ Raised at Q1 earnings call; signals strong conviction stock is undervalued</w:t>
            </w:r>
          </w:p>
        </w:tc>
      </w:tr>
      <w:tr>
        <w:tc>
          <w:tcPr>
            <w:tcW w:type="dxa" w:w="1728"/>
          </w:tcPr>
          <w:p>
            <w:r>
              <w:rPr>
                <w:rFonts w:ascii="Calibri" w:hAnsi="Calibri"/>
                <w:sz w:val="22"/>
              </w:rPr>
              <w:t>Legacy Segment Combined Ratio (FY2026)</w:t>
            </w:r>
          </w:p>
        </w:tc>
        <w:tc>
          <w:tcPr>
            <w:tcW w:type="dxa" w:w="1728"/>
          </w:tcPr>
          <w:p>
            <w:r>
              <w:rPr>
                <w:rFonts w:ascii="Calibri" w:hAnsi="Calibri"/>
                <w:sz w:val="22"/>
              </w:rPr>
              <w:t>&gt;110% for FY2026, driven by retail-to-AIG transition expenses</w:t>
            </w:r>
          </w:p>
        </w:tc>
        <w:tc>
          <w:tcPr>
            <w:tcW w:type="dxa" w:w="1728"/>
          </w:tcPr>
          <w:p>
            <w:r>
              <w:rPr>
                <w:rFonts w:ascii="Calibri" w:hAnsi="Calibri"/>
                <w:sz w:val="22"/>
              </w:rPr>
              <w:t>—</w:t>
            </w:r>
          </w:p>
        </w:tc>
        <w:tc>
          <w:tcPr>
            <w:tcW w:type="dxa" w:w="1728"/>
          </w:tcPr>
          <w:p>
            <w:r>
              <w:rPr>
                <w:rFonts w:ascii="Calibri" w:hAnsi="Calibri"/>
                <w:sz w:val="22"/>
              </w:rPr>
              <w:t>~135% in Q4 2024; improving but still elevated</w:t>
            </w:r>
          </w:p>
        </w:tc>
        <w:tc>
          <w:tcPr>
            <w:tcW w:type="dxa" w:w="1728"/>
          </w:tcPr>
          <w:p>
            <w:r>
              <w:rPr>
                <w:rFonts w:ascii="Calibri" w:hAnsi="Calibri"/>
                <w:sz w:val="22"/>
              </w:rPr>
              <w:t>Unchanged; ~$150M restructuring charges expected throughout 2026</w:t>
            </w:r>
          </w:p>
        </w:tc>
      </w:tr>
      <w:tr>
        <w:tc>
          <w:tcPr>
            <w:tcW w:type="dxa" w:w="1728"/>
          </w:tcPr>
          <w:p>
            <w:r>
              <w:rPr>
                <w:rFonts w:ascii="Calibri" w:hAnsi="Calibri"/>
                <w:sz w:val="22"/>
              </w:rPr>
              <w:t>Underwriting Expense Ratio (Group)</w:t>
            </w:r>
          </w:p>
        </w:tc>
        <w:tc>
          <w:tcPr>
            <w:tcW w:type="dxa" w:w="1728"/>
          </w:tcPr>
          <w:p>
            <w:r>
              <w:rPr>
                <w:rFonts w:ascii="Calibri" w:hAnsi="Calibri"/>
                <w:sz w:val="22"/>
              </w:rPr>
              <w:t>6%–7% range for FY2026; not expected below 6% for any meaningful period</w:t>
            </w:r>
          </w:p>
        </w:tc>
        <w:tc>
          <w:tcPr>
            <w:tcW w:type="dxa" w:w="1728"/>
          </w:tcPr>
          <w:p>
            <w:r>
              <w:rPr>
                <w:rFonts w:ascii="Calibri" w:hAnsi="Calibri"/>
                <w:sz w:val="22"/>
              </w:rPr>
              <w:t>—</w:t>
            </w:r>
          </w:p>
        </w:tc>
        <w:tc>
          <w:tcPr>
            <w:tcW w:type="dxa" w:w="1728"/>
          </w:tcPr>
          <w:p>
            <w:r>
              <w:rPr>
                <w:rFonts w:ascii="Calibri" w:hAnsi="Calibri"/>
                <w:sz w:val="22"/>
              </w:rPr>
              <w:t>GW&amp;S operating expense ratio at 12.6% in Q1; expected to improve as business scales</w:t>
            </w:r>
          </w:p>
        </w:tc>
        <w:tc>
          <w:tcPr>
            <w:tcW w:type="dxa" w:w="1728"/>
          </w:tcPr>
          <w:p>
            <w:r>
              <w:rPr>
                <w:rFonts w:ascii="Calibri" w:hAnsi="Calibri"/>
                <w:sz w:val="22"/>
              </w:rPr>
              <w:t>Unchanged; elevated real estate costs expected in Q4 2026</w:t>
            </w:r>
          </w:p>
        </w:tc>
      </w:tr>
      <w:tr>
        <w:tc>
          <w:tcPr>
            <w:tcW w:type="dxa" w:w="1728"/>
          </w:tcPr>
          <w:p>
            <w:r>
              <w:rPr>
                <w:rFonts w:ascii="Calibri" w:hAnsi="Calibri"/>
                <w:sz w:val="22"/>
              </w:rPr>
              <w:t>Operating Tax Rate (FY2026)</w:t>
            </w:r>
          </w:p>
        </w:tc>
        <w:tc>
          <w:tcPr>
            <w:tcW w:type="dxa" w:w="1728"/>
          </w:tcPr>
          <w:p>
            <w:r>
              <w:rPr>
                <w:rFonts w:ascii="Calibri" w:hAnsi="Calibri"/>
                <w:sz w:val="22"/>
              </w:rPr>
              <w:t>17%–18% working assumption for full year (Q1 actual was 11.7%, below guidance)</w:t>
            </w:r>
          </w:p>
        </w:tc>
        <w:tc>
          <w:tcPr>
            <w:tcW w:type="dxa" w:w="1728"/>
          </w:tcPr>
          <w:p>
            <w:r>
              <w:rPr>
                <w:rFonts w:ascii="Calibri" w:hAnsi="Calibri"/>
                <w:sz w:val="22"/>
              </w:rPr>
              <w:t>—</w:t>
            </w:r>
          </w:p>
        </w:tc>
        <w:tc>
          <w:tcPr>
            <w:tcW w:type="dxa" w:w="1728"/>
          </w:tcPr>
          <w:p>
            <w:r>
              <w:rPr>
                <w:rFonts w:ascii="Calibri" w:hAnsi="Calibri"/>
                <w:sz w:val="22"/>
              </w:rPr>
              <w:t>N/A — not separately tracked in VA</w:t>
            </w:r>
          </w:p>
        </w:tc>
        <w:tc>
          <w:tcPr>
            <w:tcW w:type="dxa" w:w="1728"/>
          </w:tcPr>
          <w:p>
            <w:r>
              <w:rPr>
                <w:rFonts w:ascii="Calibri" w:hAnsi="Calibri"/>
                <w:sz w:val="22"/>
              </w:rPr>
              <w:t>Unchanged; Q1 benefited from discrete tax items</w:t>
            </w:r>
          </w:p>
        </w:tc>
      </w:tr>
      <w:tr>
        <w:tc>
          <w:tcPr>
            <w:tcW w:type="dxa" w:w="1728"/>
          </w:tcPr>
          <w:p>
            <w:r>
              <w:rPr>
                <w:rFonts w:ascii="Calibri" w:hAnsi="Calibri"/>
                <w:sz w:val="22"/>
              </w:rPr>
              <w:t>Property Cat Pricing (6/1 Florida Renewals)</w:t>
            </w:r>
          </w:p>
        </w:tc>
        <w:tc>
          <w:tcPr>
            <w:tcW w:type="dxa" w:w="1728"/>
          </w:tcPr>
          <w:p>
            <w:r>
              <w:rPr>
                <w:rFonts w:ascii="Calibri" w:hAnsi="Calibri"/>
                <w:sz w:val="22"/>
              </w:rPr>
              <w:t>Mid-teens rate declines expected at 6/1 Florida; terms and conditions expected to hold; returns remain above thresholds</w:t>
            </w:r>
          </w:p>
        </w:tc>
        <w:tc>
          <w:tcPr>
            <w:tcW w:type="dxa" w:w="1728"/>
          </w:tcPr>
          <w:p>
            <w:r>
              <w:rPr>
                <w:rFonts w:ascii="Calibri" w:hAnsi="Calibri"/>
                <w:sz w:val="22"/>
              </w:rPr>
              <w:t>—</w:t>
            </w:r>
          </w:p>
        </w:tc>
        <w:tc>
          <w:tcPr>
            <w:tcW w:type="dxa" w:w="1728"/>
          </w:tcPr>
          <w:p>
            <w:r>
              <w:rPr>
                <w:rFonts w:ascii="Calibri" w:hAnsi="Calibri"/>
                <w:sz w:val="22"/>
              </w:rPr>
              <w:t>Peer RNR confirmed high-teens declines at mid-year; broadly consistent with EG guidance</w:t>
            </w:r>
          </w:p>
        </w:tc>
        <w:tc>
          <w:tcPr>
            <w:tcW w:type="dxa" w:w="1728"/>
          </w:tcPr>
          <w:p>
            <w:r>
              <w:rPr>
                <w:rFonts w:ascii="Calibri" w:hAnsi="Calibri"/>
                <w:sz w:val="22"/>
              </w:rPr>
              <w:t>Unchanged; RNR Q2 2026 call confirmed pricing pressure consistent with EG’s April guidance</w:t>
            </w:r>
          </w:p>
        </w:tc>
      </w:tr>
      <w:tr>
        <w:tc>
          <w:tcPr>
            <w:tcW w:type="dxa" w:w="1728"/>
          </w:tcPr>
          <w:p>
            <w:r>
              <w:rPr>
                <w:rFonts w:ascii="Calibri" w:hAnsi="Calibri"/>
                <w:sz w:val="22"/>
              </w:rPr>
              <w:t>Baltimore Bridge Reserve Development</w:t>
            </w:r>
          </w:p>
        </w:tc>
        <w:tc>
          <w:tcPr>
            <w:tcW w:type="dxa" w:w="1728"/>
          </w:tcPr>
          <w:p>
            <w:r>
              <w:rPr>
                <w:rFonts w:ascii="Calibri" w:hAnsi="Calibri"/>
                <w:sz w:val="22"/>
              </w:rPr>
              <w:t>Initial reserve $70M; “a few tens of millions” of incremental development possible in Q2 or Q3 via prior-year development line</w:t>
            </w:r>
          </w:p>
        </w:tc>
        <w:tc>
          <w:tcPr>
            <w:tcW w:type="dxa" w:w="1728"/>
          </w:tcPr>
          <w:p>
            <w:r>
              <w:rPr>
                <w:rFonts w:ascii="Calibri" w:hAnsi="Calibri"/>
                <w:sz w:val="22"/>
              </w:rPr>
              <w:t>—</w:t>
            </w:r>
          </w:p>
        </w:tc>
        <w:tc>
          <w:tcPr>
            <w:tcW w:type="dxa" w:w="1728"/>
          </w:tcPr>
          <w:p>
            <w:r>
              <w:rPr>
                <w:rFonts w:ascii="Calibri" w:hAnsi="Calibri"/>
                <w:sz w:val="22"/>
              </w:rPr>
              <w:t>N/A — not in VA consensus</w:t>
            </w:r>
          </w:p>
        </w:tc>
        <w:tc>
          <w:tcPr>
            <w:tcW w:type="dxa" w:w="1728"/>
          </w:tcPr>
          <w:p>
            <w:r>
              <w:rPr>
                <w:rFonts w:ascii="Calibri" w:hAnsi="Calibri"/>
                <w:sz w:val="22"/>
              </w:rPr>
              <w:t>⚠ Key risk: RNR booked 4.1 pts adverse development from bridge in Q2 2026; EG may follow</w:t>
            </w:r>
          </w:p>
        </w:tc>
      </w:tr>
      <w:tr>
        <w:tc>
          <w:tcPr>
            <w:tcW w:type="dxa" w:w="1728"/>
          </w:tcPr>
          <w:p>
            <w:r>
              <w:rPr>
                <w:rFonts w:ascii="Calibri" w:hAnsi="Calibri"/>
                <w:sz w:val="22"/>
              </w:rPr>
              <w:t>Capital Release from Retail Exit (AIG Transaction)</w:t>
            </w:r>
          </w:p>
        </w:tc>
        <w:tc>
          <w:tcPr>
            <w:tcW w:type="dxa" w:w="1728"/>
          </w:tcPr>
          <w:p>
            <w:r>
              <w:rPr>
                <w:rFonts w:ascii="Calibri" w:hAnsi="Calibri"/>
                <w:sz w:val="22"/>
              </w:rPr>
              <w:t>Meaningful capital release expected to become visible in H2 2026; Canada sale ~6 months from close</w:t>
            </w:r>
          </w:p>
        </w:tc>
        <w:tc>
          <w:tcPr>
            <w:tcW w:type="dxa" w:w="1728"/>
          </w:tcPr>
          <w:p>
            <w:r>
              <w:rPr>
                <w:rFonts w:ascii="Calibri" w:hAnsi="Calibri"/>
                <w:sz w:val="22"/>
              </w:rPr>
              <w:t>—</w:t>
            </w:r>
          </w:p>
        </w:tc>
        <w:tc>
          <w:tcPr>
            <w:tcW w:type="dxa" w:w="1728"/>
          </w:tcPr>
          <w:p>
            <w:r>
              <w:rPr>
                <w:rFonts w:ascii="Calibri" w:hAnsi="Calibri"/>
                <w:sz w:val="22"/>
              </w:rPr>
              <w:t>Colombia operations sale to AIG announced May 19, 2026 (expected close early 2027)</w:t>
            </w:r>
          </w:p>
        </w:tc>
        <w:tc>
          <w:tcPr>
            <w:tcW w:type="dxa" w:w="1728"/>
          </w:tcPr>
          <w:p>
            <w:r>
              <w:rPr>
                <w:rFonts w:ascii="Calibri" w:hAnsi="Calibri"/>
                <w:sz w:val="22"/>
              </w:rPr>
              <w:t>↑ Colombia sale (May 19) adds another retail exit step; accretive to capital return discussion</w:t>
            </w:r>
          </w:p>
        </w:tc>
      </w:tr>
      <w:tr>
        <w:tc>
          <w:tcPr>
            <w:tcW w:type="dxa" w:w="1728"/>
          </w:tcPr>
          <w:p>
            <w:r>
              <w:rPr>
                <w:rFonts w:ascii="Calibri" w:hAnsi="Calibri"/>
                <w:sz w:val="22"/>
              </w:rPr>
              <w:t>Net Investment Income / AUM Growth</w:t>
            </w:r>
          </w:p>
        </w:tc>
        <w:tc>
          <w:tcPr>
            <w:tcW w:type="dxa" w:w="1728"/>
          </w:tcPr>
          <w:p>
            <w:r>
              <w:rPr>
                <w:rFonts w:ascii="Calibri" w:hAnsi="Calibri"/>
                <w:sz w:val="22"/>
              </w:rPr>
              <w:t>Flat to marginal AUM growth; ~$60M annual NII drag from ADC transaction</w:t>
            </w:r>
          </w:p>
        </w:tc>
        <w:tc>
          <w:tcPr>
            <w:tcW w:type="dxa" w:w="1728"/>
          </w:tcPr>
          <w:p>
            <w:r>
              <w:rPr>
                <w:rFonts w:ascii="Calibri" w:hAnsi="Calibri"/>
                <w:sz w:val="22"/>
              </w:rPr>
              <w:t>—</w:t>
            </w:r>
          </w:p>
        </w:tc>
        <w:tc>
          <w:tcPr>
            <w:tcW w:type="dxa" w:w="1728"/>
          </w:tcPr>
          <w:p>
            <w:r>
              <w:rPr>
                <w:rFonts w:ascii="Calibri" w:hAnsi="Calibri"/>
                <w:sz w:val="22"/>
              </w:rPr>
              <w:t>$496M Q2 2026 consensus (vs. $567M Q1 2026 actual)</w:t>
            </w:r>
          </w:p>
        </w:tc>
        <w:tc>
          <w:tcPr>
            <w:tcW w:type="dxa" w:w="1728"/>
          </w:tcPr>
          <w:p>
            <w:r>
              <w:rPr>
                <w:rFonts w:ascii="Calibri" w:hAnsi="Calibri"/>
                <w:sz w:val="22"/>
              </w:rPr>
              <w:t>Unchanged; Q1 NII was boosted by outsized alternative investment returns (not expected to repeat)</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FY2026 operating EPS estimates have drifted modestly lower since the Q1 print (from $53.19 to $51.50, -3.2%), while Q2 2026 estimates are essentially flat since the post-Q1 baseline. The gap between current consensus and management’s implied FY guidance is not alarming, but the downward drift in FY EPS reflects the market pricing in the ADC-related NII drag and continued top-line contraction from the retail exit.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~5 Days Post Q1 Earnings (as of May 6,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Op. EPS — Q2 2026</w:t>
            </w:r>
          </w:p>
        </w:tc>
        <w:tc>
          <w:tcPr>
            <w:tcW w:type="dxa" w:w="1080"/>
          </w:tcPr>
          <w:p>
            <w:r>
              <w:rPr>
                <w:rFonts w:ascii="Calibri" w:hAnsi="Calibri"/>
                <w:sz w:val="22"/>
              </w:rPr>
              <w:t>$14.63</w:t>
            </w:r>
          </w:p>
        </w:tc>
        <w:tc>
          <w:tcPr>
            <w:tcW w:type="dxa" w:w="1080"/>
          </w:tcPr>
          <w:p>
            <w:r>
              <w:rPr>
                <w:rFonts w:ascii="Calibri" w:hAnsi="Calibri"/>
                <w:sz w:val="22"/>
              </w:rPr>
              <w:t>$14.74</w:t>
            </w:r>
          </w:p>
        </w:tc>
        <w:tc>
          <w:tcPr>
            <w:tcW w:type="dxa" w:w="1080"/>
          </w:tcPr>
          <w:p>
            <w:r>
              <w:rPr>
                <w:rFonts w:ascii="Calibri" w:hAnsi="Calibri"/>
                <w:sz w:val="22"/>
              </w:rPr>
              <w:t>+0.8%</w:t>
            </w:r>
          </w:p>
        </w:tc>
        <w:tc>
          <w:tcPr>
            <w:tcW w:type="dxa" w:w="1080"/>
          </w:tcPr>
          <w:p>
            <w:r>
              <w:rPr>
                <w:rFonts w:ascii="Calibri" w:hAnsi="Calibri"/>
                <w:sz w:val="22"/>
              </w:rPr>
              <w:t>No quarterly guide</w:t>
            </w:r>
          </w:p>
        </w:tc>
        <w:tc>
          <w:tcPr>
            <w:tcW w:type="dxa" w:w="1080"/>
          </w:tcPr>
          <w:p>
            <w:r>
              <w:rPr>
                <w:rFonts w:ascii="Calibri" w:hAnsi="Calibri"/>
                <w:sz w:val="22"/>
              </w:rPr>
              <w:t>No quarterly guide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 EPS — FY2026</w:t>
            </w:r>
          </w:p>
        </w:tc>
        <w:tc>
          <w:tcPr>
            <w:tcW w:type="dxa" w:w="1080"/>
          </w:tcPr>
          <w:p>
            <w:r>
              <w:rPr>
                <w:rFonts w:ascii="Calibri" w:hAnsi="Calibri"/>
                <w:sz w:val="22"/>
              </w:rPr>
              <w:t>$53.19</w:t>
            </w:r>
          </w:p>
        </w:tc>
        <w:tc>
          <w:tcPr>
            <w:tcW w:type="dxa" w:w="1080"/>
          </w:tcPr>
          <w:p>
            <w:r>
              <w:rPr>
                <w:rFonts w:ascii="Calibri" w:hAnsi="Calibri"/>
                <w:sz w:val="22"/>
              </w:rPr>
              <w:t>$51.50</w:t>
            </w:r>
          </w:p>
        </w:tc>
        <w:tc>
          <w:tcPr>
            <w:tcW w:type="dxa" w:w="1080"/>
          </w:tcPr>
          <w:p>
            <w:r>
              <w:rPr>
                <w:rFonts w:ascii="Calibri" w:hAnsi="Calibri"/>
                <w:b/>
                <w:color w:val="E5484D"/>
                <w:sz w:val="22"/>
              </w:rPr>
              <w:t>-3.2%</w:t>
            </w:r>
          </w:p>
        </w:tc>
        <w:tc>
          <w:tcPr>
            <w:tcW w:type="dxa" w:w="1080"/>
          </w:tcPr>
          <w:p>
            <w:r>
              <w:rPr>
                <w:rFonts w:ascii="Calibri" w:hAnsi="Calibri"/>
                <w:sz w:val="22"/>
              </w:rPr>
              <w:t>No formal FY EPS guide; implied ~$51–$57 range from analyst models</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Combined Ratio — Q2 2026</w:t>
            </w:r>
          </w:p>
        </w:tc>
        <w:tc>
          <w:tcPr>
            <w:tcW w:type="dxa" w:w="1080"/>
          </w:tcPr>
          <w:p>
            <w:r>
              <w:rPr>
                <w:rFonts w:ascii="Calibri" w:hAnsi="Calibri"/>
                <w:sz w:val="22"/>
              </w:rPr>
              <w:t>92.4%</w:t>
            </w:r>
          </w:p>
        </w:tc>
        <w:tc>
          <w:tcPr>
            <w:tcW w:type="dxa" w:w="1080"/>
          </w:tcPr>
          <w:p>
            <w:r>
              <w:rPr>
                <w:rFonts w:ascii="Calibri" w:hAnsi="Calibri"/>
                <w:sz w:val="22"/>
              </w:rPr>
              <w:t>92.0%</w:t>
            </w:r>
          </w:p>
        </w:tc>
        <w:tc>
          <w:tcPr>
            <w:tcW w:type="dxa" w:w="1080"/>
          </w:tcPr>
          <w:p>
            <w:r>
              <w:rPr>
                <w:rFonts w:ascii="Calibri" w:hAnsi="Calibri"/>
                <w:b/>
                <w:color w:val="30A46C"/>
                <w:sz w:val="22"/>
              </w:rPr>
              <w:t>-40 bps</w:t>
            </w:r>
          </w:p>
        </w:tc>
        <w:tc>
          <w:tcPr>
            <w:tcW w:type="dxa" w:w="1080"/>
          </w:tcPr>
          <w:p>
            <w:r>
              <w:rPr>
                <w:rFonts w:ascii="Calibri" w:hAnsi="Calibri"/>
                <w:sz w:val="22"/>
              </w:rPr>
              <w:t>No quarterly guide; GW&amp;S targeting low-90s</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Broadly in line</w:t>
            </w:r>
          </w:p>
        </w:tc>
      </w:tr>
      <w:tr>
        <w:tc>
          <w:tcPr>
            <w:tcW w:type="dxa" w:w="1080"/>
          </w:tcPr>
          <w:p>
            <w:r>
              <w:rPr>
                <w:rFonts w:ascii="Calibri" w:hAnsi="Calibri"/>
                <w:sz w:val="22"/>
              </w:rPr>
              <w:t>Combined Ratio — FY2026</w:t>
            </w:r>
          </w:p>
        </w:tc>
        <w:tc>
          <w:tcPr>
            <w:tcW w:type="dxa" w:w="1080"/>
          </w:tcPr>
          <w:p>
            <w:r>
              <w:rPr>
                <w:rFonts w:ascii="Calibri" w:hAnsi="Calibri"/>
                <w:sz w:val="22"/>
              </w:rPr>
              <w:t>94.6%</w:t>
            </w:r>
          </w:p>
        </w:tc>
        <w:tc>
          <w:tcPr>
            <w:tcW w:type="dxa" w:w="1080"/>
          </w:tcPr>
          <w:p>
            <w:r>
              <w:rPr>
                <w:rFonts w:ascii="Calibri" w:hAnsi="Calibri"/>
                <w:sz w:val="22"/>
              </w:rPr>
              <w:t>94.8%</w:t>
            </w:r>
          </w:p>
        </w:tc>
        <w:tc>
          <w:tcPr>
            <w:tcW w:type="dxa" w:w="1080"/>
          </w:tcPr>
          <w:p>
            <w:r>
              <w:rPr>
                <w:rFonts w:ascii="Calibri" w:hAnsi="Calibri"/>
                <w:sz w:val="22"/>
              </w:rPr>
              <w:t>+20 bps</w:t>
            </w:r>
          </w:p>
        </w:tc>
        <w:tc>
          <w:tcPr>
            <w:tcW w:type="dxa" w:w="1080"/>
          </w:tcPr>
          <w:p>
            <w:r>
              <w:rPr>
                <w:rFonts w:ascii="Calibri" w:hAnsi="Calibri"/>
                <w:sz w:val="22"/>
              </w:rPr>
              <w:t>Legacy &gt;110%; GW&amp;S low-90s; Reinsurance improving</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Broadly in line</w:t>
            </w:r>
          </w:p>
        </w:tc>
      </w:tr>
      <w:tr>
        <w:tc>
          <w:tcPr>
            <w:tcW w:type="dxa" w:w="1080"/>
          </w:tcPr>
          <w:p>
            <w:r>
              <w:rPr>
                <w:rFonts w:ascii="Calibri" w:hAnsi="Calibri"/>
                <w:sz w:val="22"/>
              </w:rPr>
              <w:t>Net Premium Written — Q2 2026</w:t>
            </w:r>
          </w:p>
        </w:tc>
        <w:tc>
          <w:tcPr>
            <w:tcW w:type="dxa" w:w="1080"/>
          </w:tcPr>
          <w:p>
            <w:r>
              <w:rPr>
                <w:rFonts w:ascii="Calibri" w:hAnsi="Calibri"/>
                <w:sz w:val="22"/>
              </w:rPr>
              <w:t>$3.552B</w:t>
            </w:r>
          </w:p>
        </w:tc>
        <w:tc>
          <w:tcPr>
            <w:tcW w:type="dxa" w:w="1080"/>
          </w:tcPr>
          <w:p>
            <w:r>
              <w:rPr>
                <w:rFonts w:ascii="Calibri" w:hAnsi="Calibri"/>
                <w:sz w:val="22"/>
              </w:rPr>
              <w:t>$3.367B</w:t>
            </w:r>
          </w:p>
        </w:tc>
        <w:tc>
          <w:tcPr>
            <w:tcW w:type="dxa" w:w="1080"/>
          </w:tcPr>
          <w:p>
            <w:r>
              <w:rPr>
                <w:rFonts w:ascii="Calibri" w:hAnsi="Calibri"/>
                <w:b/>
                <w:color w:val="E5484D"/>
                <w:sz w:val="22"/>
              </w:rPr>
              <w:t>-5.2%</w:t>
            </w:r>
          </w:p>
        </w:tc>
        <w:tc>
          <w:tcPr>
            <w:tcW w:type="dxa" w:w="1080"/>
          </w:tcPr>
          <w:p>
            <w:r>
              <w:rPr>
                <w:rFonts w:ascii="Calibri" w:hAnsi="Calibri"/>
                <w:sz w:val="22"/>
              </w:rPr>
              <w:t>No quarterly guide; FY2026 ~$13.14B</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Premium Written — FY2026</w:t>
            </w:r>
          </w:p>
        </w:tc>
        <w:tc>
          <w:tcPr>
            <w:tcW w:type="dxa" w:w="1080"/>
          </w:tcPr>
          <w:p>
            <w:r>
              <w:rPr>
                <w:rFonts w:ascii="Calibri" w:hAnsi="Calibri"/>
                <w:sz w:val="22"/>
              </w:rPr>
              <w:t>$13.620B</w:t>
            </w:r>
          </w:p>
        </w:tc>
        <w:tc>
          <w:tcPr>
            <w:tcW w:type="dxa" w:w="1080"/>
          </w:tcPr>
          <w:p>
            <w:r>
              <w:rPr>
                <w:rFonts w:ascii="Calibri" w:hAnsi="Calibri"/>
                <w:sz w:val="22"/>
              </w:rPr>
              <w:t>$13.142B</w:t>
            </w:r>
          </w:p>
        </w:tc>
        <w:tc>
          <w:tcPr>
            <w:tcW w:type="dxa" w:w="1080"/>
          </w:tcPr>
          <w:p>
            <w:r>
              <w:rPr>
                <w:rFonts w:ascii="Calibri" w:hAnsi="Calibri"/>
                <w:b/>
                <w:color w:val="E5484D"/>
                <w:sz w:val="22"/>
              </w:rPr>
              <w:t>-3.5%</w:t>
            </w:r>
          </w:p>
        </w:tc>
        <w:tc>
          <w:tcPr>
            <w:tcW w:type="dxa" w:w="1080"/>
          </w:tcPr>
          <w:p>
            <w:r>
              <w:rPr>
                <w:rFonts w:ascii="Calibri" w:hAnsi="Calibri"/>
                <w:sz w:val="22"/>
              </w:rPr>
              <w:t>No formal guide; deliberate casualty runoff + retail exit</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Investment Income — Q2 2026</w:t>
            </w:r>
          </w:p>
        </w:tc>
        <w:tc>
          <w:tcPr>
            <w:tcW w:type="dxa" w:w="1080"/>
          </w:tcPr>
          <w:p>
            <w:r>
              <w:rPr>
                <w:rFonts w:ascii="Calibri" w:hAnsi="Calibri"/>
                <w:sz w:val="22"/>
              </w:rPr>
              <w:t>$505M</w:t>
            </w:r>
          </w:p>
        </w:tc>
        <w:tc>
          <w:tcPr>
            <w:tcW w:type="dxa" w:w="1080"/>
          </w:tcPr>
          <w:p>
            <w:r>
              <w:rPr>
                <w:rFonts w:ascii="Calibri" w:hAnsi="Calibri"/>
                <w:sz w:val="22"/>
              </w:rPr>
              <w:t>$496M</w:t>
            </w:r>
          </w:p>
        </w:tc>
        <w:tc>
          <w:tcPr>
            <w:tcW w:type="dxa" w:w="1080"/>
          </w:tcPr>
          <w:p>
            <w:r>
              <w:rPr>
                <w:rFonts w:ascii="Calibri" w:hAnsi="Calibri"/>
                <w:sz w:val="22"/>
              </w:rPr>
              <w:t>-1.8%</w:t>
            </w:r>
          </w:p>
        </w:tc>
        <w:tc>
          <w:tcPr>
            <w:tcW w:type="dxa" w:w="1080"/>
          </w:tcPr>
          <w:p>
            <w:r>
              <w:rPr>
                <w:rFonts w:ascii="Calibri" w:hAnsi="Calibri"/>
                <w:sz w:val="22"/>
              </w:rPr>
              <w:t>Flat to marginal AUM growth; ~$60M annual ADC drag</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Broadly in line</w:t>
            </w:r>
          </w:p>
        </w:tc>
      </w:tr>
    </w:tbl>
    <w:p>
      <w:r>
        <w:rPr>
          <w:rFonts w:ascii="Calibri" w:hAnsi="Calibri"/>
          <w:i/>
          <w:color w:val="525866"/>
          <w:sz w:val="22"/>
        </w:rPr>
        <w:t>Source: Visible Alpha consensus and actuals data. Post-Q1 baseline as of May 6, 2026 (5 trading days after April 29, 2026 earnings release).</w:t>
      </w:r>
    </w:p>
    <w:p>
      <w:r>
        <w:rPr>
          <w:rFonts w:ascii="Calibri" w:hAnsi="Calibri"/>
          <w:color w:val="525866"/>
          <w:sz w:val="22"/>
        </w:rPr>
        <w:t>The modest downward drift in FY2026 EPS (-3.2%) and NPW (-3.5%) since the Q1 print reflects the market incorporating the ADC-related NII headwind and continued top-line contraction from the retail exit, rather than any deterioration in underlying underwriting quality. Combined ratio estimates have been essentially stable, consistent with management’s guidance for improving attritional performance.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EG has rallied ~15.9% since the Q1 2026 earnings date (April 29, 2026), essentially in line with the insurance sector (IAK +15.7%) but well ahead of the S&amp;P 500 (+4.1%), suggesting the re-rating has been sector-driven rather than EG-specific alpha. The stock’s recovery from a mid-May/early-June trough (driven by property cat pricing concerns) was catalyzed by the Annapurna Re sidecar launch and multiple analyst price target upgrades in early July.</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EG vs. IAK (iShares U.S. Insurance ETF) vs. S&amp;P 500 — Indexed to 100 at April 29, 2026 (Q1 2026 Earnings Date). Source: Yahoo Finance.</w:t>
      </w:r>
    </w:p>
    <w:p>
      <w:r>
        <w:rPr>
          <w:rFonts w:ascii="Calibri" w:hAnsi="Calibri"/>
          <w:b/>
          <w:color w:val="525866"/>
          <w:sz w:val="22"/>
        </w:rPr>
        <w:t>Key events since Q1 2026 earnings (April 29, 2026):</w:t>
      </w:r>
    </w:p>
    <w:p>
      <w:pPr>
        <w:pStyle w:val="ListBullet"/>
        <w:ind w:left="360" w:hanging="360"/>
      </w:pPr>
      <w:r>
        <w:rPr>
          <w:rFonts w:ascii="Calibri" w:hAnsi="Calibri"/>
          <w:b/>
          <w:color w:val="525866"/>
          <w:sz w:val="22"/>
        </w:rPr>
        <w:t>May 7, 2026:</w:t>
      </w:r>
      <w:r>
        <w:rPr>
          <w:rFonts w:ascii="Calibri" w:hAnsi="Calibri"/>
          <w:color w:val="525866"/>
          <w:sz w:val="22"/>
        </w:rPr>
        <w:t xml:space="preserve"> Lisa Davis appointed Head of North America, Wholesale &amp; Specialty — leadership build-out in core segment.</w:t>
      </w:r>
    </w:p>
    <w:p>
      <w:pPr>
        <w:pStyle w:val="ListBullet"/>
        <w:ind w:left="360" w:hanging="360"/>
      </w:pPr>
      <w:r>
        <w:rPr>
          <w:rFonts w:ascii="Calibri" w:hAnsi="Calibri"/>
          <w:b/>
          <w:color w:val="525866"/>
          <w:sz w:val="22"/>
        </w:rPr>
        <w:t>May 13, 2026:</w:t>
      </w:r>
      <w:r>
        <w:rPr>
          <w:rFonts w:ascii="Calibri" w:hAnsi="Calibri"/>
          <w:color w:val="525866"/>
          <w:sz w:val="22"/>
        </w:rPr>
        <w:t xml:space="preserve"> Board declared $2.00/share quarterly dividend (paid June 26, 2026).</w:t>
      </w:r>
    </w:p>
    <w:p>
      <w:pPr>
        <w:pStyle w:val="ListBullet"/>
        <w:ind w:left="360" w:hanging="360"/>
      </w:pPr>
      <w:r>
        <w:rPr>
          <w:rFonts w:ascii="Calibri" w:hAnsi="Calibri"/>
          <w:b/>
          <w:color w:val="525866"/>
          <w:sz w:val="22"/>
        </w:rPr>
        <w:t>May 14, 2026:</w:t>
      </w:r>
      <w:r>
        <w:rPr>
          <w:rFonts w:ascii="Calibri" w:hAnsi="Calibri"/>
          <w:color w:val="525866"/>
          <w:sz w:val="22"/>
        </w:rPr>
        <w:t xml:space="preserve"> BMO Capital Markets raised price target from $366 to $376 (Market Perform).</w:t>
      </w:r>
    </w:p>
    <w:p>
      <w:pPr>
        <w:pStyle w:val="ListBullet"/>
        <w:ind w:left="360" w:hanging="360"/>
      </w:pPr>
      <w:r>
        <w:rPr>
          <w:rFonts w:ascii="Calibri" w:hAnsi="Calibri"/>
          <w:b/>
          <w:color w:val="525866"/>
          <w:sz w:val="22"/>
        </w:rPr>
        <w:t>May 19, 2026:</w:t>
      </w:r>
      <w:r>
        <w:rPr>
          <w:rFonts w:ascii="Calibri" w:hAnsi="Calibri"/>
          <w:color w:val="525866"/>
          <w:sz w:val="22"/>
        </w:rPr>
        <w:t xml:space="preserve"> Everest announced sale of Colombia insurance operations to AIG — another retail exit step; expected close early 2027.</w:t>
      </w:r>
    </w:p>
    <w:p>
      <w:pPr>
        <w:pStyle w:val="ListBullet"/>
        <w:ind w:left="360" w:hanging="360"/>
      </w:pPr>
      <w:r>
        <w:rPr>
          <w:rFonts w:ascii="Calibri" w:hAnsi="Calibri"/>
          <w:b/>
          <w:color w:val="525866"/>
          <w:sz w:val="22"/>
        </w:rPr>
        <w:t>May 21, 2026:</w:t>
      </w:r>
      <w:r>
        <w:rPr>
          <w:rFonts w:ascii="Calibri" w:hAnsi="Calibri"/>
          <w:color w:val="525866"/>
          <w:sz w:val="22"/>
        </w:rPr>
        <w:t xml:space="preserve"> UBS set $355 price target (Equal Weight). Stock began a ~7-week decline from ~$358 to ~$318 (June 3 trough), driven by property cat pricing concerns.</w:t>
      </w:r>
    </w:p>
    <w:p>
      <w:pPr>
        <w:pStyle w:val="ListBullet"/>
        <w:ind w:left="360" w:hanging="360"/>
      </w:pPr>
      <w:r>
        <w:rPr>
          <w:rFonts w:ascii="Calibri" w:hAnsi="Calibri"/>
          <w:b/>
          <w:color w:val="525866"/>
          <w:sz w:val="22"/>
        </w:rPr>
        <w:t>June 5, 2026:</w:t>
      </w:r>
      <w:r>
        <w:rPr>
          <w:rFonts w:ascii="Calibri" w:hAnsi="Calibri"/>
          <w:color w:val="525866"/>
          <w:sz w:val="22"/>
        </w:rPr>
        <w:t xml:space="preserve"> Stock rebounded sharply (+$16, ~+5%) — likely sector-wide relief on cat pricing stabilization signals.</w:t>
      </w:r>
    </w:p>
    <w:p>
      <w:pPr>
        <w:pStyle w:val="ListBullet"/>
        <w:ind w:left="360" w:hanging="360"/>
      </w:pPr>
      <w:r>
        <w:rPr>
          <w:rFonts w:ascii="Calibri" w:hAnsi="Calibri"/>
          <w:b/>
          <w:color w:val="525866"/>
          <w:sz w:val="22"/>
        </w:rPr>
        <w:t>June 17, 2026:</w:t>
      </w:r>
      <w:r>
        <w:rPr>
          <w:rFonts w:ascii="Calibri" w:hAnsi="Calibri"/>
          <w:color w:val="525866"/>
          <w:sz w:val="22"/>
        </w:rPr>
        <w:t xml:space="preserve"> Everest and Stone Point launched Annapurna Re Ltd., a $600M casualty reinsurance sidecar — positive signal on casualty book quality and third-party capital appetite.</w:t>
      </w:r>
    </w:p>
    <w:p>
      <w:pPr>
        <w:pStyle w:val="ListBullet"/>
        <w:ind w:left="360" w:hanging="360"/>
      </w:pPr>
      <w:r>
        <w:rPr>
          <w:rFonts w:ascii="Calibri" w:hAnsi="Calibri"/>
          <w:b/>
          <w:color w:val="525866"/>
          <w:sz w:val="22"/>
        </w:rPr>
        <w:t>July 2, 2026:</w:t>
      </w:r>
      <w:r>
        <w:rPr>
          <w:rFonts w:ascii="Calibri" w:hAnsi="Calibri"/>
          <w:color w:val="525866"/>
          <w:sz w:val="22"/>
        </w:rPr>
        <w:t xml:space="preserve"> Stock surged ~+$11 to $371 — coinciding with sector-wide insurance rally (IAK +$3.5 on same day).</w:t>
      </w:r>
    </w:p>
    <w:p>
      <w:pPr>
        <w:pStyle w:val="ListBullet"/>
        <w:ind w:left="360" w:hanging="360"/>
      </w:pPr>
      <w:r>
        <w:rPr>
          <w:rFonts w:ascii="Calibri" w:hAnsi="Calibri"/>
          <w:b/>
          <w:color w:val="525866"/>
          <w:sz w:val="22"/>
        </w:rPr>
        <w:t>July 6–9, 2026:</w:t>
      </w:r>
      <w:r>
        <w:rPr>
          <w:rFonts w:ascii="Calibri" w:hAnsi="Calibri"/>
          <w:color w:val="525866"/>
          <w:sz w:val="22"/>
        </w:rPr>
        <w:t xml:space="preserve"> Multiple analyst price target upgrades: Morgan Stanley ($355→$360, Equal Weight), Mizuho ($388→$418, Neutral), KBW ($411→$414, Outperform), Barclays ($380→$420, Overweight).</w:t>
      </w:r>
    </w:p>
    <w:p>
      <w:pPr>
        <w:pStyle w:val="ListBullet"/>
        <w:ind w:left="360" w:hanging="360"/>
      </w:pPr>
      <w:r>
        <w:rPr>
          <w:rFonts w:ascii="Calibri" w:hAnsi="Calibri"/>
          <w:b/>
          <w:color w:val="525866"/>
          <w:sz w:val="22"/>
        </w:rPr>
        <w:t>July 15, 2026:</w:t>
      </w:r>
      <w:r>
        <w:rPr>
          <w:rFonts w:ascii="Calibri" w:hAnsi="Calibri"/>
          <w:color w:val="525866"/>
          <w:sz w:val="22"/>
        </w:rPr>
        <w:t xml:space="preserve"> Atlantic Securities set $484 price target — highest on the Street.</w:t>
      </w:r>
    </w:p>
    <w:p>
      <w:pPr>
        <w:pStyle w:val="ListBullet"/>
        <w:ind w:left="360" w:hanging="360"/>
      </w:pPr>
      <w:r>
        <w:rPr>
          <w:rFonts w:ascii="Calibri" w:hAnsi="Calibri"/>
          <w:b/>
          <w:color w:val="525866"/>
          <w:sz w:val="22"/>
        </w:rPr>
        <w:t>July 24, 2026:</w:t>
      </w:r>
      <w:r>
        <w:rPr>
          <w:rFonts w:ascii="Calibri" w:hAnsi="Calibri"/>
          <w:color w:val="525866"/>
          <w:sz w:val="22"/>
        </w:rPr>
        <w:t xml:space="preserve"> Stock hit new 52-week high of $386.25.</w:t>
      </w:r>
    </w:p>
    <w:p>
      <w:r>
        <w:rPr>
          <w:rFonts w:ascii="Calibri" w:hAnsi="Calibri"/>
          <w:b/>
          <w:color w:val="525866"/>
          <w:sz w:val="22"/>
        </w:rPr>
        <w:t>Analyst Consensus (as of July 28, 2026):</w:t>
      </w:r>
      <w:r>
        <w:rPr>
          <w:rFonts w:ascii="Calibri" w:hAnsi="Calibri"/>
          <w:color w:val="525866"/>
          <w:sz w:val="22"/>
        </w:rPr>
        <w:t xml:space="preserve"> 16 analysts covering EG; consensus rating Hold (12 Hold, 4 Buy, 0 Sell). Average price target ~$375–$388 (range: $287–$484). Stock at ~$398.70 (July 29 pre-market) is trading above the consensus price target, suggesting the market is pricing in a beat or further re-rating.</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launch of Annapurna Re (June 17), which signals third-party investor confidence in Everest’s casualty underwriting quality and expands the capital-light earnings model — a direct positive read-through for Q2 and beyond. The Baltimore Bridge reserve development remains the key downside risk to watch in the Q2 print.</w:t>
      </w:r>
    </w:p>
    <w:p>
      <w:pPr>
        <w:pStyle w:val="ListBullet"/>
        <w:ind w:left="360" w:hanging="360"/>
      </w:pPr>
      <w:r>
        <w:rPr>
          <w:rFonts w:ascii="Calibri" w:hAnsi="Calibri"/>
          <w:b/>
          <w:color w:val="525866"/>
          <w:sz w:val="22"/>
        </w:rPr>
        <w:t>June 17, 2026 — Annapurna Re Casualty Sidecar Launch ($600M):</w:t>
      </w:r>
      <w:r>
        <w:rPr>
          <w:rFonts w:ascii="Calibri" w:hAnsi="Calibri"/>
          <w:color w:val="525866"/>
          <w:sz w:val="22"/>
        </w:rPr>
        <w:t xml:space="preserve"> Everest partnered with Stone Point Insurance Solutions to launch Annapurna Re Ltd., a Bermuda-based casualty reinsurance sidecar targeting ~$600M of third-party capital over a 3-year underwriting period. Stone Point is anchor investor; Stone Point Credit serves as exclusive investment manager. </w:t>
      </w:r>
      <w:r>
        <w:rPr>
          <w:rFonts w:ascii="Calibri" w:hAnsi="Calibri"/>
          <w:b/>
          <w:color w:val="525866"/>
          <w:sz w:val="22"/>
        </w:rPr>
        <w:t>Implication:</w:t>
      </w:r>
      <w:r>
        <w:rPr>
          <w:rFonts w:ascii="Calibri" w:hAnsi="Calibri"/>
          <w:color w:val="525866"/>
          <w:sz w:val="22"/>
        </w:rPr>
        <w:t xml:space="preserve"> Validates casualty book quality post-remediation; expands Mt. Logan-style capital-light model to casualty; generates fee income and enhances ROE. Positive for Q2 and FY2026 earnings power.</w:t>
      </w:r>
    </w:p>
    <w:p>
      <w:pPr>
        <w:pStyle w:val="ListBullet"/>
        <w:ind w:left="360" w:hanging="360"/>
      </w:pPr>
      <w:r>
        <w:rPr>
          <w:rFonts w:ascii="Calibri" w:hAnsi="Calibri"/>
          <w:b/>
          <w:color w:val="525866"/>
          <w:sz w:val="22"/>
        </w:rPr>
        <w:t>May 19, 2026 — Colombia Insurance Operations Sale to AIG:</w:t>
      </w:r>
      <w:r>
        <w:rPr>
          <w:rFonts w:ascii="Calibri" w:hAnsi="Calibri"/>
          <w:color w:val="525866"/>
          <w:sz w:val="22"/>
        </w:rPr>
        <w:t xml:space="preserve"> Everest announced a definitive agreement to sell Everest Compañía de Seguros Generales Colombia S.A. to AIG; expected close early 2027. </w:t>
      </w:r>
      <w:r>
        <w:rPr>
          <w:rFonts w:ascii="Calibri" w:hAnsi="Calibri"/>
          <w:b/>
          <w:color w:val="525866"/>
          <w:sz w:val="22"/>
        </w:rPr>
        <w:t>Implication:</w:t>
      </w:r>
      <w:r>
        <w:rPr>
          <w:rFonts w:ascii="Calibri" w:hAnsi="Calibri"/>
          <w:color w:val="525866"/>
          <w:sz w:val="22"/>
        </w:rPr>
        <w:t xml:space="preserve"> Another step in the retail exit strategy; accretive to capital return discussion in H2 2026 and 2027; no material near-term P&amp;L impact.</w:t>
      </w:r>
    </w:p>
    <w:p>
      <w:pPr>
        <w:pStyle w:val="ListBullet"/>
        <w:ind w:left="360" w:hanging="360"/>
      </w:pPr>
      <w:r>
        <w:rPr>
          <w:rFonts w:ascii="Calibri" w:hAnsi="Calibri"/>
          <w:b/>
          <w:color w:val="525866"/>
          <w:sz w:val="22"/>
        </w:rPr>
        <w:t>May 15, 2026 — Shareholder Approval of 812,000 Share Increase for Incentive Plan (8-K):</w:t>
      </w:r>
      <w:r>
        <w:rPr>
          <w:rFonts w:ascii="Calibri" w:hAnsi="Calibri"/>
          <w:color w:val="525866"/>
          <w:sz w:val="22"/>
        </w:rPr>
        <w:t xml:space="preserve"> Routine governance item; modest dilution risk but signals ongoing equity compensation program. </w:t>
      </w:r>
      <w:r>
        <w:rPr>
          <w:rFonts w:ascii="Calibri" w:hAnsi="Calibri"/>
          <w:b/>
          <w:color w:val="525866"/>
          <w:sz w:val="22"/>
        </w:rPr>
        <w:t>Implication:</w:t>
      </w:r>
      <w:r>
        <w:rPr>
          <w:rFonts w:ascii="Calibri" w:hAnsi="Calibri"/>
          <w:color w:val="525866"/>
          <w:sz w:val="22"/>
        </w:rPr>
        <w:t xml:space="preserve"> Minimal near-term impact; watch for share count in Q2 EPS calculation.</w:t>
      </w:r>
    </w:p>
    <w:p>
      <w:pPr>
        <w:pStyle w:val="ListBullet"/>
        <w:ind w:left="360" w:hanging="360"/>
      </w:pPr>
      <w:r>
        <w:rPr>
          <w:rFonts w:ascii="Calibri" w:hAnsi="Calibri"/>
          <w:b/>
          <w:color w:val="525866"/>
          <w:sz w:val="22"/>
        </w:rPr>
        <w:t>May 7, 2026 — Lisa Davis Appointed Head of North America, Wholesale &amp; Specialty:</w:t>
      </w:r>
      <w:r>
        <w:rPr>
          <w:rFonts w:ascii="Calibri" w:hAnsi="Calibri"/>
          <w:color w:val="525866"/>
          <w:sz w:val="22"/>
        </w:rPr>
        <w:t xml:space="preserve"> Leadership build-out in the core GW&amp;S segment. </w:t>
      </w:r>
      <w:r>
        <w:rPr>
          <w:rFonts w:ascii="Calibri" w:hAnsi="Calibri"/>
          <w:b/>
          <w:color w:val="525866"/>
          <w:sz w:val="22"/>
        </w:rPr>
        <w:t>Implication:</w:t>
      </w:r>
      <w:r>
        <w:rPr>
          <w:rFonts w:ascii="Calibri" w:hAnsi="Calibri"/>
          <w:color w:val="525866"/>
          <w:sz w:val="22"/>
        </w:rPr>
        <w:t xml:space="preserve"> Positive signal on management’s commitment to scaling the GW&amp;S segment; no near-term financial impact.</w:t>
      </w:r>
    </w:p>
    <w:p>
      <w:pPr>
        <w:pStyle w:val="ListBullet"/>
        <w:ind w:left="360" w:hanging="360"/>
      </w:pPr>
      <w:r>
        <w:rPr>
          <w:rFonts w:ascii="Calibri" w:hAnsi="Calibri"/>
          <w:b/>
          <w:color w:val="525866"/>
          <w:sz w:val="22"/>
        </w:rPr>
        <w:t>May 1, 2026 — CFO Transition Completed:</w:t>
      </w:r>
      <w:r>
        <w:rPr>
          <w:rFonts w:ascii="Calibri" w:hAnsi="Calibri"/>
          <w:color w:val="525866"/>
          <w:sz w:val="22"/>
        </w:rPr>
        <w:t xml:space="preserve"> Elias Habayeb (formerly Corebridge Financial) succeeded Mark Kociancic as CFO effective May 1, 2026. </w:t>
      </w:r>
      <w:r>
        <w:rPr>
          <w:rFonts w:ascii="Calibri" w:hAnsi="Calibri"/>
          <w:b/>
          <w:color w:val="525866"/>
          <w:sz w:val="22"/>
        </w:rPr>
        <w:t>Implication:</w:t>
      </w:r>
      <w:r>
        <w:rPr>
          <w:rFonts w:ascii="Calibri" w:hAnsi="Calibri"/>
          <w:color w:val="525866"/>
          <w:sz w:val="22"/>
        </w:rPr>
        <w:t xml:space="preserve"> Q2 2026 will be Habayeb’s first full quarter as CFO; watch for any tone shift on capital allocation or reserve philosophy.</w:t>
      </w:r>
    </w:p>
    <w:p>
      <w:pPr>
        <w:pStyle w:val="ListBullet"/>
        <w:ind w:left="360" w:hanging="360"/>
      </w:pPr>
      <w:r>
        <w:rPr>
          <w:rFonts w:ascii="Calibri" w:hAnsi="Calibri"/>
          <w:b/>
          <w:color w:val="525866"/>
          <w:sz w:val="22"/>
        </w:rPr>
        <w:t>July 6–July 15, 2026 — Multiple Analyst Price Target Upgrades:</w:t>
      </w:r>
      <w:r>
        <w:rPr>
          <w:rFonts w:ascii="Calibri" w:hAnsi="Calibri"/>
          <w:color w:val="525866"/>
          <w:sz w:val="22"/>
        </w:rPr>
        <w:t xml:space="preserve"> Morgan Stanley ($355→$360), Mizuho ($388→$418), KBW ($411→$414), Barclays ($380→$420), Atlantic Securities ($484). </w:t>
      </w:r>
      <w:r>
        <w:rPr>
          <w:rFonts w:ascii="Calibri" w:hAnsi="Calibri"/>
          <w:b/>
          <w:color w:val="525866"/>
          <w:sz w:val="22"/>
        </w:rPr>
        <w:t>Implication:</w:t>
      </w:r>
      <w:r>
        <w:rPr>
          <w:rFonts w:ascii="Calibri" w:hAnsi="Calibri"/>
          <w:color w:val="525866"/>
          <w:sz w:val="22"/>
        </w:rPr>
        <w:t xml:space="preserve"> Broad-based positive sentiment shift ahead of Q2 print; stock now trading above consensus PT, raising the bar for a positive reaction.</w:t>
      </w:r>
    </w:p>
    <w:p>
      <w:pPr>
        <w:pStyle w:val="ListBullet"/>
        <w:ind w:left="360" w:hanging="360"/>
      </w:pPr>
      <w:r>
        <w:rPr>
          <w:rFonts w:ascii="Calibri" w:hAnsi="Calibri"/>
          <w:b/>
          <w:color w:val="525866"/>
          <w:sz w:val="22"/>
        </w:rPr>
        <w:t>Ongoing — Baltimore Bridge Reserve Development Risk:</w:t>
      </w:r>
      <w:r>
        <w:rPr>
          <w:rFonts w:ascii="Calibri" w:hAnsi="Calibri"/>
          <w:color w:val="525866"/>
          <w:sz w:val="22"/>
        </w:rPr>
        <w:t xml:space="preserve"> Management guided on the Q1 call to “a few tens of millions” of incremental prior-year development possible in Q2 or Q3. Peer RNR confirmed in its Q2 2026 call that the industry loss estimate grew materially, with RNR booking 4.1 points of adverse development from the bridge. </w:t>
      </w:r>
      <w:r>
        <w:rPr>
          <w:rFonts w:ascii="Calibri" w:hAnsi="Calibri"/>
          <w:b/>
          <w:color w:val="525866"/>
          <w:sz w:val="22"/>
        </w:rPr>
        <w:t>Implication:</w:t>
      </w:r>
      <w:r>
        <w:rPr>
          <w:rFonts w:ascii="Calibri" w:hAnsi="Calibri"/>
          <w:color w:val="525866"/>
          <w:sz w:val="22"/>
        </w:rPr>
        <w:t xml:space="preserve"> High probability EG books incremental Baltimore Bridge development in Q2; magnitude is the key question. Could be a $20–50M charge flowing through prior-year development line.</w:t>
      </w:r>
    </w:p>
    <w:p>
      <w:pPr>
        <w:pStyle w:val="ListBullet"/>
        <w:ind w:left="360" w:hanging="360"/>
      </w:pPr>
      <w:r>
        <w:rPr>
          <w:rFonts w:ascii="Calibri" w:hAnsi="Calibri"/>
          <w:b/>
          <w:color w:val="525866"/>
          <w:sz w:val="22"/>
        </w:rPr>
        <w:t>Ongoing — Property Cat Pricing Softening (6/1 Florida Renewals):</w:t>
      </w:r>
      <w:r>
        <w:rPr>
          <w:rFonts w:ascii="Calibri" w:hAnsi="Calibri"/>
          <w:color w:val="525866"/>
          <w:sz w:val="22"/>
        </w:rPr>
        <w:t xml:space="preserve"> Management guided to mid-teens rate declines at 6/1 Florida; peer RNR confirmed high-teens declines at mid-year renewals. Terms and conditions broadly held. </w:t>
      </w:r>
      <w:r>
        <w:rPr>
          <w:rFonts w:ascii="Calibri" w:hAnsi="Calibri"/>
          <w:b/>
          <w:color w:val="525866"/>
          <w:sz w:val="22"/>
        </w:rPr>
        <w:t>Implication:</w:t>
      </w:r>
      <w:r>
        <w:rPr>
          <w:rFonts w:ascii="Calibri" w:hAnsi="Calibri"/>
          <w:color w:val="525866"/>
          <w:sz w:val="22"/>
        </w:rPr>
        <w:t xml:space="preserve"> Modest headwind to Q2 net premium written in the Reinsurance segment; partially offset by strong cedant demand and tort reform tailwinds in Florida.</w:t>
      </w:r>
    </w:p>
    <w:p>
      <w:pPr>
        <w:pStyle w:val="ListBullet"/>
        <w:ind w:left="360" w:hanging="360"/>
      </w:pPr>
      <w:r>
        <w:rPr>
          <w:rFonts w:ascii="Calibri" w:hAnsi="Calibri"/>
          <w:b/>
          <w:color w:val="525866"/>
          <w:sz w:val="22"/>
        </w:rPr>
        <w:t>Ongoing — Iran/Middle East Conflict Exposure:</w:t>
      </w:r>
      <w:r>
        <w:rPr>
          <w:rFonts w:ascii="Calibri" w:hAnsi="Calibri"/>
          <w:color w:val="525866"/>
          <w:sz w:val="22"/>
        </w:rPr>
        <w:t xml:space="preserve"> EG disclosed a $58M total provision for the Iran conflict in Q1 2026 ($40M reinsurance loss). Peer HG noted losses will continue as long as the conflict does. </w:t>
      </w:r>
      <w:r>
        <w:rPr>
          <w:rFonts w:ascii="Calibri" w:hAnsi="Calibri"/>
          <w:b/>
          <w:color w:val="525866"/>
          <w:sz w:val="22"/>
        </w:rPr>
        <w:t>Implication:</w:t>
      </w:r>
      <w:r>
        <w:rPr>
          <w:rFonts w:ascii="Calibri" w:hAnsi="Calibri"/>
          <w:color w:val="525866"/>
          <w:sz w:val="22"/>
        </w:rPr>
        <w:t xml:space="preserve"> Watch for incremental Middle East cat losses in Q2; EG is being “judicious” on new writings but has existing exposure.</w:t>
      </w:r>
    </w:p>
    <w:p>
      <w:r>
        <w:br w:type="page"/>
      </w:r>
    </w:p>
    <w:p>
      <w:pPr>
        <w:pStyle w:val="Heading2"/>
      </w:pPr>
      <w:r>
        <w:rPr>
          <w:rFonts w:ascii="Calibri" w:hAnsi="Calibri"/>
          <w:b/>
          <w:color w:val="3B4259"/>
          <w:sz w:val="28"/>
        </w:rPr>
        <w:t>7. Peer Commentaries — Last 60 Days (Q2 2026 Read-Throughs)</w:t>
      </w:r>
    </w:p>
    <w:p>
      <w:r>
        <w:rPr>
          <w:rFonts w:ascii="Calibri" w:hAnsi="Calibri"/>
          <w:b/>
          <w:color w:val="525866"/>
          <w:sz w:val="22"/>
        </w:rPr>
        <w:t xml:space="preserve">Key Takeaway: </w:t>
      </w:r>
      <w:r>
        <w:rPr>
          <w:rFonts w:ascii="Calibri" w:hAnsi="Calibri"/>
          <w:color w:val="525866"/>
          <w:sz w:val="22"/>
        </w:rPr>
        <w:t>Peer commentary from the last 60 days is broadly constructive for EG’s Q2 setup: property cat pricing softened as expected (high-teens at mid-year, consistent with EG’s April guidance), underwriting discipline is holding on terms and conditions, and casualty reserve trends are mixed but manageable. The Baltimore Bridge is the most consistent negative read-through across peers. RNR’s Q2 2026 call (July 23) is the most directly relevant, as it covers the same reporting quarter as EG.</w:t>
      </w:r>
    </w:p>
    <w:p>
      <w:r>
        <w:rPr>
          <w:rFonts w:ascii="Calibri" w:hAnsi="Calibri"/>
          <w:i/>
          <w:color w:val="525866"/>
          <w:sz w:val="22"/>
        </w:rPr>
        <w:t>Note on peer selection:</w:t>
      </w:r>
      <w:r>
        <w:rPr>
          <w:rFonts w:ascii="Calibri" w:hAnsi="Calibri"/>
          <w:i/>
          <w:color w:val="525866"/>
          <w:sz w:val="22"/>
        </w:rPr>
        <w:t xml:space="preserve"> Only commentary about Q2 2026 conditions or forward-looking statements made after Q1 2026 earnings is included. Q1 2025 results commentary has been excluded. RNR reported Q2 2026 on July 23, 2026 (same quarter as EG). HG and SPNT reported Q1 2026 in May 2026 but provided forward-looking commentary about Q2 2026 and mid-year renewals.</w:t>
      </w:r>
    </w:p>
    <w:p>
      <w:pPr>
        <w:pStyle w:val="Heading3"/>
      </w:pPr>
      <w:r>
        <w:rPr>
          <w:rFonts w:ascii="Calibri" w:hAnsi="Calibri"/>
          <w:b/>
          <w:color w:val="3B4259"/>
          <w:sz w:val="24"/>
        </w:rPr>
        <w:t>RenaissanceRe (RNR) — Q2 2026 Earnings Call (July 23, 2026)</w:t>
      </w:r>
    </w:p>
    <w:p>
      <w:r>
        <w:rPr>
          <w:rFonts w:ascii="Calibri" w:hAnsi="Calibri"/>
          <w:b/>
          <w:color w:val="525866"/>
          <w:sz w:val="22"/>
        </w:rPr>
        <w:t xml:space="preserve">Relevance: </w:t>
      </w:r>
      <w:r>
        <w:rPr>
          <w:rFonts w:ascii="Calibri" w:hAnsi="Calibri"/>
          <w:color w:val="525866"/>
          <w:sz w:val="22"/>
        </w:rPr>
        <w:t>RNR is EG’s closest pure-play reinsurance peer and reported Q2 2026 on July 23 — the most timely and directly comparable read-through available. RNR’s commentary covers the same mid-year renewal period and cat environment that will drive EG’s Q2 results.</w:t>
      </w:r>
    </w:p>
    <w:p>
      <w:pPr>
        <w:pStyle w:val="ListBullet"/>
        <w:ind w:left="360" w:hanging="360"/>
      </w:pPr>
      <w:r>
        <w:rPr>
          <w:rFonts w:ascii="Calibri" w:hAnsi="Calibri"/>
          <w:b/>
          <w:color w:val="525866"/>
          <w:sz w:val="22"/>
        </w:rPr>
        <w:t>Property Cat Pricing — High-Teens Declines at Mid-Year, But Rates Remain Adequate:</w:t>
      </w:r>
      <w:r>
        <w:rPr>
          <w:rFonts w:ascii="Calibri" w:hAnsi="Calibri"/>
          <w:color w:val="525866"/>
          <w:sz w:val="22"/>
        </w:rPr>
        <w:t xml:space="preserve"> RNR reported property cat rates down “high teens” at mid-year renewals, consistent with EG’s April guidance of mid-teens declines at 6/1 Florida. Critically, RNR stated rates “remain broadly adequate” and that the company “continues to like the property cat market.” RNR grew U.S. property cat limit by $600M at mid-year, focusing on nationwide accounts and California programs. </w:t>
      </w:r>
      <w:r>
        <w:rPr>
          <w:rFonts w:ascii="Calibri" w:hAnsi="Calibri"/>
          <w:b/>
          <w:color w:val="525866"/>
          <w:sz w:val="22"/>
        </w:rPr>
        <w:t>EG Read-Through:</w:t>
      </w:r>
      <w:r>
        <w:rPr>
          <w:rFonts w:ascii="Calibri" w:hAnsi="Calibri"/>
          <w:color w:val="525866"/>
          <w:sz w:val="22"/>
        </w:rPr>
        <w:t xml:space="preserve"> Pricing softness is real but not alarming; EG’s Q2 Reinsurance NPW will likely show modest declines, but underwriting margins should remain above thresholds. Terms and conditions holding is a key positive.</w:t>
      </w:r>
    </w:p>
    <w:p>
      <w:pPr>
        <w:pStyle w:val="ListBullet"/>
        <w:ind w:left="360" w:hanging="360"/>
      </w:pPr>
      <w:r>
        <w:rPr>
          <w:rFonts w:ascii="Calibri" w:hAnsi="Calibri"/>
          <w:b/>
          <w:color w:val="525866"/>
          <w:sz w:val="22"/>
        </w:rPr>
        <w:t>Baltimore Bridge — 4.1 Points of Adverse Development in Q2:</w:t>
      </w:r>
      <w:r>
        <w:rPr>
          <w:rFonts w:ascii="Calibri" w:hAnsi="Calibri"/>
          <w:color w:val="525866"/>
          <w:sz w:val="22"/>
        </w:rPr>
        <w:t xml:space="preserve"> RNR reported 4.4 points of prior-year adverse development in its casualty &amp; specialty segment, with 4.1 points directly attributable to the Baltimore Bridge collapse (a shift of reserves from property to specialty). The overall net negative impact to RNR’s bottom line was $12M. RNR had reserved for a $3B industry loss from the start. </w:t>
      </w:r>
      <w:r>
        <w:rPr>
          <w:rFonts w:ascii="Calibri" w:hAnsi="Calibri"/>
          <w:b/>
          <w:color w:val="525866"/>
          <w:sz w:val="22"/>
        </w:rPr>
        <w:t>EG Read-Through:</w:t>
      </w:r>
      <w:r>
        <w:rPr>
          <w:rFonts w:ascii="Calibri" w:hAnsi="Calibri"/>
          <w:color w:val="525866"/>
          <w:sz w:val="22"/>
        </w:rPr>
        <w:t xml:space="preserve"> This is the most important negative read-through. EG management guided to “a few tens of millions” of incremental development in Q2 or Q3; RNR’s Q2 booking strongly suggests EG will also book incremental Baltimore Bridge development in Q2. Magnitude likely $20–50M, flowing through prior-year development line.</w:t>
      </w:r>
    </w:p>
    <w:p>
      <w:pPr>
        <w:pStyle w:val="ListBullet"/>
        <w:ind w:left="360" w:hanging="360"/>
      </w:pPr>
      <w:r>
        <w:rPr>
          <w:rFonts w:ascii="Calibri" w:hAnsi="Calibri"/>
          <w:b/>
          <w:color w:val="525866"/>
          <w:sz w:val="22"/>
        </w:rPr>
        <w:t>Casualty Reserves — Cautious but Favorable Ex-Bridge:</w:t>
      </w:r>
      <w:r>
        <w:rPr>
          <w:rFonts w:ascii="Calibri" w:hAnsi="Calibri"/>
          <w:color w:val="525866"/>
          <w:sz w:val="22"/>
        </w:rPr>
        <w:t xml:space="preserve"> RNR reported “significant favorable development” overall, but remains cautious on casualty where “social inflation continues to impact” the line. Excluding Baltimore Bridge and purchase accounting adjustments, casualty &amp; specialty prior-year development would have been “modestly favorable” with an adjusted combined ratio in the high 90s. </w:t>
      </w:r>
      <w:r>
        <w:rPr>
          <w:rFonts w:ascii="Calibri" w:hAnsi="Calibri"/>
          <w:b/>
          <w:color w:val="525866"/>
          <w:sz w:val="22"/>
        </w:rPr>
        <w:t>EG Read-Through:</w:t>
      </w:r>
      <w:r>
        <w:rPr>
          <w:rFonts w:ascii="Calibri" w:hAnsi="Calibri"/>
          <w:color w:val="525866"/>
          <w:sz w:val="22"/>
        </w:rPr>
        <w:t xml:space="preserve"> Underlying casualty reserve trends are manageable; EG’s ADC transaction provides finality on legacy casualty for accident years 2024 and prior, which is a structural advantage vs. RNR.</w:t>
      </w:r>
    </w:p>
    <w:p>
      <w:pPr>
        <w:pStyle w:val="ListBullet"/>
        <w:ind w:left="360" w:hanging="360"/>
      </w:pPr>
      <w:r>
        <w:rPr>
          <w:rFonts w:ascii="Calibri" w:hAnsi="Calibri"/>
          <w:b/>
          <w:color w:val="525866"/>
          <w:sz w:val="22"/>
        </w:rPr>
        <w:t>Combined Ratio — Strong Underlying Performance:</w:t>
      </w:r>
      <w:r>
        <w:rPr>
          <w:rFonts w:ascii="Calibri" w:hAnsi="Calibri"/>
          <w:color w:val="525866"/>
          <w:sz w:val="22"/>
        </w:rPr>
        <w:t xml:space="preserve"> RNR’s overall portfolio adjusted combined ratio was 72% in Q2 2026, with property cat reporting strong accident year results (current accident year loss ratio 12%, adjusted combined ratio 9%). </w:t>
      </w:r>
      <w:r>
        <w:rPr>
          <w:rFonts w:ascii="Calibri" w:hAnsi="Calibri"/>
          <w:b/>
          <w:color w:val="525866"/>
          <w:sz w:val="22"/>
        </w:rPr>
        <w:t>EG Read-Through:</w:t>
      </w:r>
      <w:r>
        <w:rPr>
          <w:rFonts w:ascii="Calibri" w:hAnsi="Calibri"/>
          <w:color w:val="525866"/>
          <w:sz w:val="22"/>
        </w:rPr>
        <w:t xml:space="preserve"> Positive for EG’s Reinsurance segment; low cat activity in Q2 (absent Baltimore Bridge) should support a clean attritional combined ratio.</w:t>
      </w:r>
    </w:p>
    <w:p>
      <w:pPr>
        <w:pStyle w:val="ListBullet"/>
        <w:ind w:left="360" w:hanging="360"/>
      </w:pPr>
      <w:r>
        <w:rPr>
          <w:rFonts w:ascii="Calibri" w:hAnsi="Calibri"/>
          <w:b/>
          <w:color w:val="525866"/>
          <w:sz w:val="22"/>
        </w:rPr>
        <w:t>Forward Outlook — Positive but Pricing Pressure Continues:</w:t>
      </w:r>
      <w:r>
        <w:rPr>
          <w:rFonts w:ascii="Calibri" w:hAnsi="Calibri"/>
          <w:color w:val="525866"/>
          <w:sz w:val="22"/>
        </w:rPr>
        <w:t xml:space="preserve"> RNR expects “continued pricing pressure moving forward” due to “a lot of supply in the market” and moderating demand growth. Management expects to “increase alpha to the market” as competition intensifies. For Q3, RNR guided to other property NPE of ~$330M and casualty &amp; specialty NPE of ~$1.3B. </w:t>
      </w:r>
      <w:r>
        <w:rPr>
          <w:rFonts w:ascii="Calibri" w:hAnsi="Calibri"/>
          <w:b/>
          <w:color w:val="525866"/>
          <w:sz w:val="22"/>
        </w:rPr>
        <w:t>EG Read-Through:</w:t>
      </w:r>
      <w:r>
        <w:rPr>
          <w:rFonts w:ascii="Calibri" w:hAnsi="Calibri"/>
          <w:color w:val="525866"/>
          <w:sz w:val="22"/>
        </w:rPr>
        <w:t xml:space="preserve"> Pricing headwinds will persist into H2 2026; EG’s strategy of prioritizing profitability over volume is well-positioned for this environment.</w:t>
      </w:r>
    </w:p>
    <w:p>
      <w:pPr>
        <w:pStyle w:val="Heading3"/>
      </w:pPr>
      <w:r>
        <w:rPr>
          <w:rFonts w:ascii="Calibri" w:hAnsi="Calibri"/>
          <w:b/>
          <w:color w:val="3B4259"/>
          <w:sz w:val="24"/>
        </w:rPr>
        <w:t>Hamilton Insurance Group (HG) — Q1 2026 Earnings Call (May 1, 2026)</w:t>
      </w:r>
    </w:p>
    <w:p>
      <w:r>
        <w:rPr>
          <w:rFonts w:ascii="Calibri" w:hAnsi="Calibri"/>
          <w:b/>
          <w:color w:val="525866"/>
          <w:sz w:val="22"/>
        </w:rPr>
        <w:t xml:space="preserve">Relevance: </w:t>
      </w:r>
      <w:r>
        <w:rPr>
          <w:rFonts w:ascii="Calibri" w:hAnsi="Calibri"/>
          <w:color w:val="525866"/>
          <w:sz w:val="22"/>
        </w:rPr>
        <w:t>HG provided forward-looking commentary on mid-year renewals and Q2 2026 conditions, including specific guidance on Florida 6/1 renewals and the Middle East conflict impact. HG’s Bermuda-focused reinsurance book overlaps meaningfully with EG’s Reinsurance segment.</w:t>
      </w:r>
    </w:p>
    <w:p>
      <w:pPr>
        <w:pStyle w:val="ListBullet"/>
        <w:ind w:left="360" w:hanging="360"/>
      </w:pPr>
      <w:r>
        <w:rPr>
          <w:rFonts w:ascii="Calibri" w:hAnsi="Calibri"/>
          <w:b/>
          <w:color w:val="525866"/>
          <w:sz w:val="22"/>
        </w:rPr>
        <w:t>Mid-Year Renewals — Pricing Pressure Similar to YTD, Margins Holding:</w:t>
      </w:r>
      <w:r>
        <w:rPr>
          <w:rFonts w:ascii="Calibri" w:hAnsi="Calibri"/>
          <w:color w:val="525866"/>
          <w:sz w:val="22"/>
        </w:rPr>
        <w:t xml:space="preserve"> HG expects mid-year pricing pressure to be “similar to what we experienced so far this year” given robust capital positions. Critically, HG stated that “softening is coming off historic highs” and margins in its U.S.-driven portfolio are expected to “remain above our thresholds.” Terms, conditions, and attachment points are expected to “largely hold.” </w:t>
      </w:r>
      <w:r>
        <w:rPr>
          <w:rFonts w:ascii="Calibri" w:hAnsi="Calibri"/>
          <w:b/>
          <w:color w:val="525866"/>
          <w:sz w:val="22"/>
        </w:rPr>
        <w:t>EG Read-Through:</w:t>
      </w:r>
      <w:r>
        <w:rPr>
          <w:rFonts w:ascii="Calibri" w:hAnsi="Calibri"/>
          <w:color w:val="525866"/>
          <w:sz w:val="22"/>
        </w:rPr>
        <w:t xml:space="preserve"> Consistent with EG’s own April guidance; structural discipline (attachment points, T&amp;C) is holding even as headline rates soften. Positive for EG’s Reinsurance margin trajectory.</w:t>
      </w:r>
    </w:p>
    <w:p>
      <w:pPr>
        <w:pStyle w:val="ListBullet"/>
        <w:ind w:left="360" w:hanging="360"/>
      </w:pPr>
      <w:r>
        <w:rPr>
          <w:rFonts w:ascii="Calibri" w:hAnsi="Calibri"/>
          <w:b/>
          <w:color w:val="525866"/>
          <w:sz w:val="22"/>
        </w:rPr>
        <w:t>Florida 6/1 Renewals — Not a Major Focus for HG, Ada Re Vehicle Used:</w:t>
      </w:r>
      <w:r>
        <w:rPr>
          <w:rFonts w:ascii="Calibri" w:hAnsi="Calibri"/>
          <w:color w:val="525866"/>
          <w:sz w:val="22"/>
        </w:rPr>
        <w:t xml:space="preserve"> HG does not expect to change its appetite for Florida domestic covers at 6/1; Ada Re (third-party capital arm) is the primary vehicle for Florida renewals. </w:t>
      </w:r>
      <w:r>
        <w:rPr>
          <w:rFonts w:ascii="Calibri" w:hAnsi="Calibri"/>
          <w:b/>
          <w:color w:val="525866"/>
          <w:sz w:val="22"/>
        </w:rPr>
        <w:t>EG Read-Through:</w:t>
      </w:r>
      <w:r>
        <w:rPr>
          <w:rFonts w:ascii="Calibri" w:hAnsi="Calibri"/>
          <w:color w:val="525866"/>
          <w:sz w:val="22"/>
        </w:rPr>
        <w:t xml:space="preserve"> EG has more direct Florida exposure than HG; EG’s Annapurna Re sidecar (launched June 17) may serve a similar capital-efficiency function for casualty, but Florida property cat remains on EG’s own balance sheet.</w:t>
      </w:r>
    </w:p>
    <w:p>
      <w:pPr>
        <w:pStyle w:val="ListBullet"/>
        <w:ind w:left="360" w:hanging="360"/>
      </w:pPr>
      <w:r>
        <w:rPr>
          <w:rFonts w:ascii="Calibri" w:hAnsi="Calibri"/>
          <w:b/>
          <w:color w:val="525866"/>
          <w:sz w:val="22"/>
        </w:rPr>
        <w:t>Baltimore Bridge — $14M Adverse Development in Q1 (2.4 Points):</w:t>
      </w:r>
      <w:r>
        <w:rPr>
          <w:rFonts w:ascii="Calibri" w:hAnsi="Calibri"/>
          <w:color w:val="525866"/>
          <w:sz w:val="22"/>
        </w:rPr>
        <w:t xml:space="preserve"> HG booked $14M of unfavorable prior-year development in Q1 2026 driven by the Baltimore Bridge settlement, taking reserves back to the original $38M ultimate loss estimate. HG noted it has a history of overall favorable prior-year development each year since inception. </w:t>
      </w:r>
      <w:r>
        <w:rPr>
          <w:rFonts w:ascii="Calibri" w:hAnsi="Calibri"/>
          <w:b/>
          <w:color w:val="525866"/>
          <w:sz w:val="22"/>
        </w:rPr>
        <w:t>EG Read-Through:</w:t>
      </w:r>
      <w:r>
        <w:rPr>
          <w:rFonts w:ascii="Calibri" w:hAnsi="Calibri"/>
          <w:color w:val="525866"/>
          <w:sz w:val="22"/>
        </w:rPr>
        <w:t xml:space="preserve"> HG booked its Baltimore Bridge development in Q1; EG has not yet done so (management guided Q2 or Q3). This increases the probability EG books the charge in Q2.</w:t>
      </w:r>
    </w:p>
    <w:p>
      <w:pPr>
        <w:pStyle w:val="ListBullet"/>
        <w:ind w:left="360" w:hanging="360"/>
      </w:pPr>
      <w:r>
        <w:rPr>
          <w:rFonts w:ascii="Calibri" w:hAnsi="Calibri"/>
          <w:b/>
          <w:color w:val="525866"/>
          <w:sz w:val="22"/>
        </w:rPr>
        <w:t>Combined Ratio — 89.8% in Q1 2026 (vs. 111.6% in Q1 2025):</w:t>
      </w:r>
      <w:r>
        <w:rPr>
          <w:rFonts w:ascii="Calibri" w:hAnsi="Calibri"/>
          <w:color w:val="525866"/>
          <w:sz w:val="22"/>
        </w:rPr>
        <w:t xml:space="preserve"> HG’s group combined ratio improved dramatically, driven by no catastrophe losses in Q1 2026 vs. ~30 points of cat losses in Q1 2025 (California wildfires). Attritional loss ratio of 54.5% was within guidance. Full-year 2026 attritional loss ratio guidance of ~55% (International) and ~56% (Bermuda) was maintained. </w:t>
      </w:r>
      <w:r>
        <w:rPr>
          <w:rFonts w:ascii="Calibri" w:hAnsi="Calibri"/>
          <w:b/>
          <w:color w:val="525866"/>
          <w:sz w:val="22"/>
        </w:rPr>
        <w:t>EG Read-Through:</w:t>
      </w:r>
      <w:r>
        <w:rPr>
          <w:rFonts w:ascii="Calibri" w:hAnsi="Calibri"/>
          <w:color w:val="525866"/>
          <w:sz w:val="22"/>
        </w:rPr>
        <w:t xml:space="preserve"> Low cat activity in Q1 2026 was a sector-wide tailwind; Q2 2026 cat environment (absent major events) should also be supportive for EG’s combined ratio.</w:t>
      </w:r>
    </w:p>
    <w:p>
      <w:pPr>
        <w:pStyle w:val="ListBullet"/>
        <w:ind w:left="360" w:hanging="360"/>
      </w:pPr>
      <w:r>
        <w:rPr>
          <w:rFonts w:ascii="Calibri" w:hAnsi="Calibri"/>
          <w:b/>
          <w:color w:val="525866"/>
          <w:sz w:val="22"/>
        </w:rPr>
        <w:t>Middle East Conflict — Manageable Exposure, Losses to Continue:</w:t>
      </w:r>
      <w:r>
        <w:rPr>
          <w:rFonts w:ascii="Calibri" w:hAnsi="Calibri"/>
          <w:color w:val="525866"/>
          <w:sz w:val="22"/>
        </w:rPr>
        <w:t xml:space="preserve"> HG stated its Middle East exposure “remains manageable” and that losses will continue as long as the conflict does, expected to be included in the catastrophe loss line going forward. HG also flagged potential broader inflationary pressures from the conflict. </w:t>
      </w:r>
      <w:r>
        <w:rPr>
          <w:rFonts w:ascii="Calibri" w:hAnsi="Calibri"/>
          <w:b/>
          <w:color w:val="525866"/>
          <w:sz w:val="22"/>
        </w:rPr>
        <w:t>EG Read-Through:</w:t>
      </w:r>
      <w:r>
        <w:rPr>
          <w:rFonts w:ascii="Calibri" w:hAnsi="Calibri"/>
          <w:color w:val="525866"/>
          <w:sz w:val="22"/>
        </w:rPr>
        <w:t xml:space="preserve"> EG disclosed a $58M total provision for Iran in Q1; watch for incremental Middle East cat losses in Q2. HG’s “manageable” characterization is consistent with EG’s “judicious” posture.</w:t>
      </w:r>
    </w:p>
    <w:p>
      <w:pPr>
        <w:pStyle w:val="ListBullet"/>
        <w:ind w:left="360" w:hanging="360"/>
      </w:pPr>
      <w:r>
        <w:rPr>
          <w:rFonts w:ascii="Calibri" w:hAnsi="Calibri"/>
          <w:b/>
          <w:color w:val="525866"/>
          <w:sz w:val="22"/>
        </w:rPr>
        <w:t>Casualty Reinsurance Sidecar — $300M Over Multi-Year Period:</w:t>
      </w:r>
      <w:r>
        <w:rPr>
          <w:rFonts w:ascii="Calibri" w:hAnsi="Calibri"/>
          <w:color w:val="525866"/>
          <w:sz w:val="22"/>
        </w:rPr>
        <w:t xml:space="preserve"> HG launched a casualty reinsurance sidecar in Q1 2026 with ceded premium projected at ~$300M over its duration. </w:t>
      </w:r>
      <w:r>
        <w:rPr>
          <w:rFonts w:ascii="Calibri" w:hAnsi="Calibri"/>
          <w:b/>
          <w:color w:val="525866"/>
          <w:sz w:val="22"/>
        </w:rPr>
        <w:t>EG Read-Through:</w:t>
      </w:r>
      <w:r>
        <w:rPr>
          <w:rFonts w:ascii="Calibri" w:hAnsi="Calibri"/>
          <w:color w:val="525866"/>
          <w:sz w:val="22"/>
        </w:rPr>
        <w:t xml:space="preserve"> EG’s Annapurna Re ($600M) is twice the size of HG’s sidecar, reflecting EG’s larger casualty book and greater third-party capital appetite. Sector-wide trend toward capital-light casualty structures is positive for EG’s fee income and ROE.</w:t>
      </w:r>
    </w:p>
    <w:p>
      <w:pPr>
        <w:pStyle w:val="Heading3"/>
      </w:pPr>
      <w:r>
        <w:rPr>
          <w:rFonts w:ascii="Calibri" w:hAnsi="Calibri"/>
          <w:b/>
          <w:color w:val="3B4259"/>
          <w:sz w:val="24"/>
        </w:rPr>
        <w:t>SiriusPoint (SPNT) — Q1 2026 Earnings Call (May 8, 2026)</w:t>
      </w:r>
    </w:p>
    <w:p>
      <w:r>
        <w:rPr>
          <w:rFonts w:ascii="Calibri" w:hAnsi="Calibri"/>
          <w:b/>
          <w:color w:val="525866"/>
          <w:sz w:val="22"/>
        </w:rPr>
        <w:t xml:space="preserve">Relevance: </w:t>
      </w:r>
      <w:r>
        <w:rPr>
          <w:rFonts w:ascii="Calibri" w:hAnsi="Calibri"/>
          <w:color w:val="525866"/>
          <w:sz w:val="22"/>
        </w:rPr>
        <w:t>SPNT provided forward-looking commentary on Q2 2026 and full-year 2026 conditions, including specific guidance on property cat pricing, casualty reserve trends, and combined ratio trajectory. SPNT’s diversified reinsurance/insurance model overlaps with EG’s GW&amp;S segment.</w:t>
      </w:r>
    </w:p>
    <w:p>
      <w:pPr>
        <w:pStyle w:val="ListBullet"/>
        <w:ind w:left="360" w:hanging="360"/>
      </w:pPr>
      <w:r>
        <w:rPr>
          <w:rFonts w:ascii="Calibri" w:hAnsi="Calibri"/>
          <w:b/>
          <w:color w:val="525866"/>
          <w:sz w:val="22"/>
        </w:rPr>
        <w:t>Property Cat — Deliberate Pullback, Q1 Was ‘Most Extreme Shrinkage’:</w:t>
      </w:r>
      <w:r>
        <w:rPr>
          <w:rFonts w:ascii="Calibri" w:hAnsi="Calibri"/>
          <w:color w:val="525866"/>
          <w:sz w:val="22"/>
        </w:rPr>
        <w:t xml:space="preserve"> SPNT pulled back from property cat where risks did not offer adequate returns; property cat now ~4% of portfolio with rate declines of ~15%. SPNT’s CEO noted Q1 likely represented the “most extreme shrinkage” for reinsurance and expects stronger year-over-year performance in the remainder of 2026. </w:t>
      </w:r>
      <w:r>
        <w:rPr>
          <w:rFonts w:ascii="Calibri" w:hAnsi="Calibri"/>
          <w:b/>
          <w:color w:val="525866"/>
          <w:sz w:val="22"/>
        </w:rPr>
        <w:t>EG Read-Through:</w:t>
      </w:r>
      <w:r>
        <w:rPr>
          <w:rFonts w:ascii="Calibri" w:hAnsi="Calibri"/>
          <w:color w:val="525866"/>
          <w:sz w:val="22"/>
        </w:rPr>
        <w:t xml:space="preserve"> SPNT’s ~15% rate decline figure is consistent with EG’s April guidance of mid-teens declines. The “most extreme shrinkage” comment suggests Q2 NPW comparisons may be less negative than Q1 for the sector.</w:t>
      </w:r>
    </w:p>
    <w:p>
      <w:pPr>
        <w:pStyle w:val="ListBullet"/>
        <w:ind w:left="360" w:hanging="360"/>
      </w:pPr>
      <w:r>
        <w:rPr>
          <w:rFonts w:ascii="Calibri" w:hAnsi="Calibri"/>
          <w:b/>
          <w:color w:val="525866"/>
          <w:sz w:val="22"/>
        </w:rPr>
        <w:t>Casualty Reserves — 20 Consecutive Quarters of Favorable Development:</w:t>
      </w:r>
      <w:r>
        <w:rPr>
          <w:rFonts w:ascii="Calibri" w:hAnsi="Calibri"/>
          <w:color w:val="525866"/>
          <w:sz w:val="22"/>
        </w:rPr>
        <w:t xml:space="preserve"> SPNT reported favorable prior-year development of $32M in core operations in Q1 2026, marking 20 consecutive quarters of favorable development. SPNT noted minimal claims from the Middle East conflict and no significant impact from the Baltimore Bridge Collapse. SPNT takes a “very prudent approach” to credit line reserving. </w:t>
      </w:r>
      <w:r>
        <w:rPr>
          <w:rFonts w:ascii="Calibri" w:hAnsi="Calibri"/>
          <w:b/>
          <w:color w:val="525866"/>
          <w:sz w:val="22"/>
        </w:rPr>
        <w:t>EG Read-Through:</w:t>
      </w:r>
      <w:r>
        <w:rPr>
          <w:rFonts w:ascii="Calibri" w:hAnsi="Calibri"/>
          <w:color w:val="525866"/>
          <w:sz w:val="22"/>
        </w:rPr>
        <w:t xml:space="preserve"> SPNT’s clean casualty reserve track record is a positive sector signal, but EG’s legacy casualty issues are more complex. EG’s ADC transaction provides structural finality that SPNT does not need.</w:t>
      </w:r>
    </w:p>
    <w:p>
      <w:pPr>
        <w:pStyle w:val="ListBullet"/>
        <w:ind w:left="360" w:hanging="360"/>
      </w:pPr>
      <w:r>
        <w:rPr>
          <w:rFonts w:ascii="Calibri" w:hAnsi="Calibri"/>
          <w:b/>
          <w:color w:val="525866"/>
          <w:sz w:val="22"/>
        </w:rPr>
        <w:t>Combined Ratio — 88.9% Core in Q1 (Lowest in 6 Quarters):</w:t>
      </w:r>
      <w:r>
        <w:rPr>
          <w:rFonts w:ascii="Calibri" w:hAnsi="Calibri"/>
          <w:color w:val="525866"/>
          <w:sz w:val="22"/>
        </w:rPr>
        <w:t xml:space="preserve"> SPNT delivered a core combined ratio of 88.9% in Q1 2026, the lowest in six quarters, driven by lower cat activity and continued attritional improvement. 14th consecutive quarter of underwriting profitability. Attritional loss trends improved ~40 bps year-over-year. </w:t>
      </w:r>
      <w:r>
        <w:rPr>
          <w:rFonts w:ascii="Calibri" w:hAnsi="Calibri"/>
          <w:b/>
          <w:color w:val="525866"/>
          <w:sz w:val="22"/>
        </w:rPr>
        <w:t>EG Read-Through:</w:t>
      </w:r>
      <w:r>
        <w:rPr>
          <w:rFonts w:ascii="Calibri" w:hAnsi="Calibri"/>
          <w:color w:val="525866"/>
          <w:sz w:val="22"/>
        </w:rPr>
        <w:t xml:space="preserve"> Sector-wide attritional improvement trend is positive for EG’s GW&amp;S segment, which improved 3.8 points in Q1 2026. Continued improvement in Q2 is plausible.</w:t>
      </w:r>
    </w:p>
    <w:p>
      <w:pPr>
        <w:pStyle w:val="ListBullet"/>
        <w:ind w:left="360" w:hanging="360"/>
      </w:pPr>
      <w:r>
        <w:rPr>
          <w:rFonts w:ascii="Calibri" w:hAnsi="Calibri"/>
          <w:b/>
          <w:color w:val="525866"/>
          <w:sz w:val="22"/>
        </w:rPr>
        <w:t>Full-Year 2026 Outlook — 5%–10% GPW Growth, Double-Digit Insurance Growth:</w:t>
      </w:r>
      <w:r>
        <w:rPr>
          <w:rFonts w:ascii="Calibri" w:hAnsi="Calibri"/>
          <w:color w:val="525866"/>
          <w:sz w:val="22"/>
        </w:rPr>
        <w:t xml:space="preserve"> SPNT expects overall gross written premium growth of 5%–10% for FY2026, with double-digit growth in Insurance &amp; Services. Growth is expected to be “more weighted to the second half of the year.” Other underwriting expense ratio guidance of 6.5%–7% for FY2026 was reaffirmed. </w:t>
      </w:r>
      <w:r>
        <w:rPr>
          <w:rFonts w:ascii="Calibri" w:hAnsi="Calibri"/>
          <w:b/>
          <w:color w:val="525866"/>
          <w:sz w:val="22"/>
        </w:rPr>
        <w:t>EG Read-Through:</w:t>
      </w:r>
      <w:r>
        <w:rPr>
          <w:rFonts w:ascii="Calibri" w:hAnsi="Calibri"/>
          <w:color w:val="525866"/>
          <w:sz w:val="22"/>
        </w:rPr>
        <w:t xml:space="preserve"> SPNT’s growth outlook contrasts with EG’s deliberate top-line contraction; EG is prioritizing profitability over volume. SPNT’s expense ratio guidance (6.5%–7%) is consistent with EG’s 6%–7% guidance.</w:t>
      </w:r>
    </w:p>
    <w:p>
      <w:pPr>
        <w:pStyle w:val="ListBullet"/>
        <w:ind w:left="360" w:hanging="360"/>
      </w:pPr>
      <w:r>
        <w:rPr>
          <w:rFonts w:ascii="Calibri" w:hAnsi="Calibri"/>
          <w:b/>
          <w:color w:val="525866"/>
          <w:sz w:val="22"/>
        </w:rPr>
        <w:t>Market Conditions — Softening in Parts, Discipline Key:</w:t>
      </w:r>
      <w:r>
        <w:rPr>
          <w:rFonts w:ascii="Calibri" w:hAnsi="Calibri"/>
          <w:color w:val="525866"/>
          <w:sz w:val="22"/>
        </w:rPr>
        <w:t xml:space="preserve"> SPNT acknowledged “certain parts of the P&amp;C market are softening,” with excess casualty achieving “double-digit though moderating rate increases that exceed loss cost trends.” General liability shows “early and selective softening in terms and conditions.” Credit lines “remain well priced.” </w:t>
      </w:r>
      <w:r>
        <w:rPr>
          <w:rFonts w:ascii="Calibri" w:hAnsi="Calibri"/>
          <w:b/>
          <w:color w:val="525866"/>
          <w:sz w:val="22"/>
        </w:rPr>
        <w:t>EG Read-Through:</w:t>
      </w:r>
      <w:r>
        <w:rPr>
          <w:rFonts w:ascii="Calibri" w:hAnsi="Calibri"/>
          <w:color w:val="525866"/>
          <w:sz w:val="22"/>
        </w:rPr>
        <w:t xml:space="preserve"> Moderating but still positive casualty rate environment is consistent with EG’s strategy of maintaining elevated loss picks while benefiting from rate adequacy in specialty lines.</w:t>
      </w:r>
    </w:p>
    <w:p>
      <w:r>
        <w:rPr>
          <w:rFonts w:ascii="Calibri" w:hAnsi="Calibri"/>
          <w:b/>
          <w:color w:val="525866"/>
          <w:sz w:val="22"/>
        </w:rPr>
        <w:t>Peer Commentary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Theme</w:t>
            </w:r>
          </w:p>
        </w:tc>
        <w:tc>
          <w:tcPr>
            <w:tcW w:type="dxa" w:w="1728"/>
            <w:shd w:val="clear" w:color="auto" w:fill="3B4259"/>
          </w:tcPr>
          <w:p>
            <w:r>
              <w:rPr>
                <w:rFonts w:ascii="Calibri" w:hAnsi="Calibri"/>
                <w:b/>
                <w:color w:val="FFFFFF"/>
                <w:sz w:val="22"/>
              </w:rPr>
              <w:t>RNR (Q2 2026, Jul 23)</w:t>
            </w:r>
          </w:p>
        </w:tc>
        <w:tc>
          <w:tcPr>
            <w:tcW w:type="dxa" w:w="1728"/>
            <w:shd w:val="clear" w:color="auto" w:fill="3B4259"/>
          </w:tcPr>
          <w:p>
            <w:r>
              <w:rPr>
                <w:rFonts w:ascii="Calibri" w:hAnsi="Calibri"/>
                <w:b/>
                <w:color w:val="FFFFFF"/>
                <w:sz w:val="22"/>
              </w:rPr>
              <w:t>HG (Q1 2026, May 1)</w:t>
            </w:r>
          </w:p>
        </w:tc>
        <w:tc>
          <w:tcPr>
            <w:tcW w:type="dxa" w:w="1728"/>
            <w:shd w:val="clear" w:color="auto" w:fill="3B4259"/>
          </w:tcPr>
          <w:p>
            <w:r>
              <w:rPr>
                <w:rFonts w:ascii="Calibri" w:hAnsi="Calibri"/>
                <w:b/>
                <w:color w:val="FFFFFF"/>
                <w:sz w:val="22"/>
              </w:rPr>
              <w:t>SPNT (Q1 2026, May 8)</w:t>
            </w:r>
          </w:p>
        </w:tc>
        <w:tc>
          <w:tcPr>
            <w:tcW w:type="dxa" w:w="1728"/>
            <w:shd w:val="clear" w:color="auto" w:fill="3B4259"/>
          </w:tcPr>
          <w:p>
            <w:r>
              <w:rPr>
                <w:rFonts w:ascii="Calibri" w:hAnsi="Calibri"/>
                <w:b/>
                <w:color w:val="FFFFFF"/>
                <w:sz w:val="22"/>
              </w:rPr>
              <w:t>EG Read-Through</w:t>
            </w:r>
          </w:p>
        </w:tc>
      </w:tr>
      <w:tr>
        <w:tc>
          <w:tcPr>
            <w:tcW w:type="dxa" w:w="1728"/>
          </w:tcPr>
          <w:p>
            <w:r>
              <w:rPr>
                <w:rFonts w:ascii="Calibri" w:hAnsi="Calibri"/>
                <w:sz w:val="22"/>
              </w:rPr>
              <w:t>Property Cat Pricing</w:t>
            </w:r>
          </w:p>
        </w:tc>
        <w:tc>
          <w:tcPr>
            <w:tcW w:type="dxa" w:w="1728"/>
          </w:tcPr>
          <w:p>
            <w:r>
              <w:rPr>
                <w:rFonts w:ascii="Calibri" w:hAnsi="Calibri"/>
                <w:sz w:val="22"/>
              </w:rPr>
              <w:t>High-teens declines; rates broadly adequate; grew limit</w:t>
            </w:r>
          </w:p>
        </w:tc>
        <w:tc>
          <w:tcPr>
            <w:tcW w:type="dxa" w:w="1728"/>
          </w:tcPr>
          <w:p>
            <w:r>
              <w:rPr>
                <w:rFonts w:ascii="Calibri" w:hAnsi="Calibri"/>
                <w:sz w:val="22"/>
              </w:rPr>
              <w:t>Similar pressure to YTD; margins above thresholds; T&amp;C holding</w:t>
            </w:r>
          </w:p>
        </w:tc>
        <w:tc>
          <w:tcPr>
            <w:tcW w:type="dxa" w:w="1728"/>
          </w:tcPr>
          <w:p>
            <w:r>
              <w:rPr>
                <w:rFonts w:ascii="Calibri" w:hAnsi="Calibri"/>
                <w:sz w:val="22"/>
              </w:rPr>
              <w:t>~15% declines; Q1 was most extreme shrinkage; improving H2</w:t>
            </w:r>
          </w:p>
        </w:tc>
        <w:tc>
          <w:tcPr>
            <w:tcW w:type="dxa" w:w="1728"/>
          </w:tcPr>
          <w:p>
            <w:r>
              <w:rPr>
                <w:rFonts w:ascii="Calibri" w:hAnsi="Calibri"/>
                <w:sz w:val="22"/>
              </w:rPr>
              <w:t>Neutral-to-positive: pricing soft but adequate; EG’s discipline should protect margins</w:t>
            </w:r>
          </w:p>
        </w:tc>
      </w:tr>
      <w:tr>
        <w:tc>
          <w:tcPr>
            <w:tcW w:type="dxa" w:w="1728"/>
          </w:tcPr>
          <w:p>
            <w:r>
              <w:rPr>
                <w:rFonts w:ascii="Calibri" w:hAnsi="Calibri"/>
                <w:sz w:val="22"/>
              </w:rPr>
              <w:t>Baltimore Bridge</w:t>
            </w:r>
          </w:p>
        </w:tc>
        <w:tc>
          <w:tcPr>
            <w:tcW w:type="dxa" w:w="1728"/>
          </w:tcPr>
          <w:p>
            <w:r>
              <w:rPr>
                <w:rFonts w:ascii="Calibri" w:hAnsi="Calibri"/>
                <w:sz w:val="22"/>
              </w:rPr>
              <w:t>4.1 pts adverse development in Q2; $12M net impact</w:t>
            </w:r>
          </w:p>
        </w:tc>
        <w:tc>
          <w:tcPr>
            <w:tcW w:type="dxa" w:w="1728"/>
          </w:tcPr>
          <w:p>
            <w:r>
              <w:rPr>
                <w:rFonts w:ascii="Calibri" w:hAnsi="Calibri"/>
                <w:sz w:val="22"/>
              </w:rPr>
              <w:t>$14M adverse development in Q1 (2.4 pts)</w:t>
            </w:r>
          </w:p>
        </w:tc>
        <w:tc>
          <w:tcPr>
            <w:tcW w:type="dxa" w:w="1728"/>
          </w:tcPr>
          <w:p>
            <w:r>
              <w:rPr>
                <w:rFonts w:ascii="Calibri" w:hAnsi="Calibri"/>
                <w:sz w:val="22"/>
              </w:rPr>
              <w:t>No significant impact noted</w:t>
            </w:r>
          </w:p>
        </w:tc>
        <w:tc>
          <w:tcPr>
            <w:tcW w:type="dxa" w:w="1728"/>
          </w:tcPr>
          <w:p>
            <w:r>
              <w:rPr>
                <w:rFonts w:ascii="Calibri" w:hAnsi="Calibri"/>
                <w:b/>
                <w:color w:val="E5484D"/>
                <w:sz w:val="22"/>
              </w:rPr>
              <w:t>Negative: EG likely books $20–50M incremental development in Q2</w:t>
            </w:r>
          </w:p>
        </w:tc>
      </w:tr>
      <w:tr>
        <w:tc>
          <w:tcPr>
            <w:tcW w:type="dxa" w:w="1728"/>
          </w:tcPr>
          <w:p>
            <w:r>
              <w:rPr>
                <w:rFonts w:ascii="Calibri" w:hAnsi="Calibri"/>
                <w:sz w:val="22"/>
              </w:rPr>
              <w:t>Casualty Reserves</w:t>
            </w:r>
          </w:p>
        </w:tc>
        <w:tc>
          <w:tcPr>
            <w:tcW w:type="dxa" w:w="1728"/>
          </w:tcPr>
          <w:p>
            <w:r>
              <w:rPr>
                <w:rFonts w:ascii="Calibri" w:hAnsi="Calibri"/>
                <w:sz w:val="22"/>
              </w:rPr>
              <w:t>Cautious; social inflation ongoing; favorable ex-bridge</w:t>
            </w:r>
          </w:p>
        </w:tc>
        <w:tc>
          <w:tcPr>
            <w:tcW w:type="dxa" w:w="1728"/>
          </w:tcPr>
          <w:p>
            <w:r>
              <w:rPr>
                <w:rFonts w:ascii="Calibri" w:hAnsi="Calibri"/>
                <w:sz w:val="22"/>
              </w:rPr>
              <w:t>Favorable history; no material casualty issues</w:t>
            </w:r>
          </w:p>
        </w:tc>
        <w:tc>
          <w:tcPr>
            <w:tcW w:type="dxa" w:w="1728"/>
          </w:tcPr>
          <w:p>
            <w:r>
              <w:rPr>
                <w:rFonts w:ascii="Calibri" w:hAnsi="Calibri"/>
                <w:sz w:val="22"/>
              </w:rPr>
              <w:t>20 consecutive quarters favorable; prudent approach</w:t>
            </w:r>
          </w:p>
        </w:tc>
        <w:tc>
          <w:tcPr>
            <w:tcW w:type="dxa" w:w="1728"/>
          </w:tcPr>
          <w:p>
            <w:r>
              <w:rPr>
                <w:rFonts w:ascii="Calibri" w:hAnsi="Calibri"/>
                <w:sz w:val="22"/>
              </w:rPr>
              <w:t>Neutral: EG’s ADC provides finality; underlying casualty improving</w:t>
            </w:r>
          </w:p>
        </w:tc>
      </w:tr>
      <w:tr>
        <w:tc>
          <w:tcPr>
            <w:tcW w:type="dxa" w:w="1728"/>
          </w:tcPr>
          <w:p>
            <w:r>
              <w:rPr>
                <w:rFonts w:ascii="Calibri" w:hAnsi="Calibri"/>
                <w:sz w:val="22"/>
              </w:rPr>
              <w:t>Combined Ratio Trend</w:t>
            </w:r>
          </w:p>
        </w:tc>
        <w:tc>
          <w:tcPr>
            <w:tcW w:type="dxa" w:w="1728"/>
          </w:tcPr>
          <w:p>
            <w:r>
              <w:rPr>
                <w:rFonts w:ascii="Calibri" w:hAnsi="Calibri"/>
                <w:sz w:val="22"/>
              </w:rPr>
              <w:t>72% adjusted; strong property cat accident year</w:t>
            </w:r>
          </w:p>
        </w:tc>
        <w:tc>
          <w:tcPr>
            <w:tcW w:type="dxa" w:w="1728"/>
          </w:tcPr>
          <w:p>
            <w:r>
              <w:rPr>
                <w:rFonts w:ascii="Calibri" w:hAnsi="Calibri"/>
                <w:sz w:val="22"/>
              </w:rPr>
              <w:t>89.8% group; dramatic improvement from Q1 2025</w:t>
            </w:r>
          </w:p>
        </w:tc>
        <w:tc>
          <w:tcPr>
            <w:tcW w:type="dxa" w:w="1728"/>
          </w:tcPr>
          <w:p>
            <w:r>
              <w:rPr>
                <w:rFonts w:ascii="Calibri" w:hAnsi="Calibri"/>
                <w:sz w:val="22"/>
              </w:rPr>
              <w:t>88.9% core; lowest in 6 quarters; 14th consecutive underwriting profit</w:t>
            </w:r>
          </w:p>
        </w:tc>
        <w:tc>
          <w:tcPr>
            <w:tcW w:type="dxa" w:w="1728"/>
          </w:tcPr>
          <w:p>
            <w:r>
              <w:rPr>
                <w:rFonts w:ascii="Calibri" w:hAnsi="Calibri"/>
                <w:b/>
                <w:color w:val="30A46C"/>
                <w:sz w:val="22"/>
              </w:rPr>
              <w:t>Positive: sector-wide attritional improvement supports EG’s ~92% Q2 consensus</w:t>
            </w:r>
          </w:p>
        </w:tc>
      </w:tr>
      <w:tr>
        <w:tc>
          <w:tcPr>
            <w:tcW w:type="dxa" w:w="1728"/>
          </w:tcPr>
          <w:p>
            <w:r>
              <w:rPr>
                <w:rFonts w:ascii="Calibri" w:hAnsi="Calibri"/>
                <w:sz w:val="22"/>
              </w:rPr>
              <w:t>Middle East / Iran</w:t>
            </w:r>
          </w:p>
        </w:tc>
        <w:tc>
          <w:tcPr>
            <w:tcW w:type="dxa" w:w="1728"/>
          </w:tcPr>
          <w:p>
            <w:r>
              <w:rPr>
                <w:rFonts w:ascii="Calibri" w:hAnsi="Calibri"/>
                <w:sz w:val="22"/>
              </w:rPr>
              <w:t>Not specifically called out in Q2</w:t>
            </w:r>
          </w:p>
        </w:tc>
        <w:tc>
          <w:tcPr>
            <w:tcW w:type="dxa" w:w="1728"/>
          </w:tcPr>
          <w:p>
            <w:r>
              <w:rPr>
                <w:rFonts w:ascii="Calibri" w:hAnsi="Calibri"/>
                <w:sz w:val="22"/>
              </w:rPr>
              <w:t>Manageable; losses to continue; inflationary risk</w:t>
            </w:r>
          </w:p>
        </w:tc>
        <w:tc>
          <w:tcPr>
            <w:tcW w:type="dxa" w:w="1728"/>
          </w:tcPr>
          <w:p>
            <w:r>
              <w:rPr>
                <w:rFonts w:ascii="Calibri" w:hAnsi="Calibri"/>
                <w:sz w:val="22"/>
              </w:rPr>
              <w:t>Minimal claims noted</w:t>
            </w:r>
          </w:p>
        </w:tc>
        <w:tc>
          <w:tcPr>
            <w:tcW w:type="dxa" w:w="1728"/>
          </w:tcPr>
          <w:p>
            <w:r>
              <w:rPr>
                <w:rFonts w:ascii="Calibri" w:hAnsi="Calibri"/>
                <w:sz w:val="22"/>
              </w:rPr>
              <w:t>Watch: EG has $58M Q1 provision; incremental Q2 exposure possible</w:t>
            </w:r>
          </w:p>
        </w:tc>
      </w:tr>
      <w:tr>
        <w:tc>
          <w:tcPr>
            <w:tcW w:type="dxa" w:w="1728"/>
          </w:tcPr>
          <w:p>
            <w:r>
              <w:rPr>
                <w:rFonts w:ascii="Calibri" w:hAnsi="Calibri"/>
                <w:sz w:val="22"/>
              </w:rPr>
              <w:t>Capital / Sidecars</w:t>
            </w:r>
          </w:p>
        </w:tc>
        <w:tc>
          <w:tcPr>
            <w:tcW w:type="dxa" w:w="1728"/>
          </w:tcPr>
          <w:p>
            <w:r>
              <w:rPr>
                <w:rFonts w:ascii="Calibri" w:hAnsi="Calibri"/>
                <w:sz w:val="22"/>
              </w:rPr>
              <w:t>Chose not to deploy Epsilon at mid-year; ceded 35% of C&amp;S gross premium</w:t>
            </w:r>
          </w:p>
        </w:tc>
        <w:tc>
          <w:tcPr>
            <w:tcW w:type="dxa" w:w="1728"/>
          </w:tcPr>
          <w:p>
            <w:r>
              <w:rPr>
                <w:rFonts w:ascii="Calibri" w:hAnsi="Calibri"/>
                <w:sz w:val="22"/>
              </w:rPr>
              <w:t>$300M casualty sidecar launched in Q1</w:t>
            </w:r>
          </w:p>
        </w:tc>
        <w:tc>
          <w:tcPr>
            <w:tcW w:type="dxa" w:w="1728"/>
          </w:tcPr>
          <w:p>
            <w:r>
              <w:rPr>
                <w:rFonts w:ascii="Calibri" w:hAnsi="Calibri"/>
                <w:sz w:val="22"/>
              </w:rPr>
              <w:t>$135M buyback authorization remaining; may use special dividend</w:t>
            </w:r>
          </w:p>
        </w:tc>
        <w:tc>
          <w:tcPr>
            <w:tcW w:type="dxa" w:w="1728"/>
          </w:tcPr>
          <w:p>
            <w:r>
              <w:rPr>
                <w:rFonts w:ascii="Calibri" w:hAnsi="Calibri"/>
                <w:b/>
                <w:color w:val="30A46C"/>
                <w:sz w:val="22"/>
              </w:rPr>
              <w:t>Positive: EG’s $600M Annapurna Re is sector-leading; $300M/qtr buyback floor</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The only open-market sale since Q1 earnings was a small discretionary sale by Jason Keen (EVP &amp; CEO of GW&amp;S Division) of 775 shares on May 7 — modest in size and not a meaningful signal. Director share awards (transaction code ‘A’) are routine compensation grants, not open-market purchases. No clustered open-market buys or unusual sale activity; insider activity is quiet heading into Q2 earnings.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 Value</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Jason Keen</w:t>
            </w:r>
          </w:p>
        </w:tc>
        <w:tc>
          <w:tcPr>
            <w:tcW w:type="dxa" w:w="1440"/>
          </w:tcPr>
          <w:p>
            <w:r>
              <w:rPr>
                <w:rFonts w:ascii="Calibri" w:hAnsi="Calibri"/>
                <w:sz w:val="22"/>
              </w:rPr>
              <w:t>EVP &amp; CEO, GW&amp;S Division</w:t>
            </w:r>
          </w:p>
        </w:tc>
        <w:tc>
          <w:tcPr>
            <w:tcW w:type="dxa" w:w="1440"/>
          </w:tcPr>
          <w:p>
            <w:r>
              <w:rPr>
                <w:rFonts w:ascii="Calibri" w:hAnsi="Calibri"/>
                <w:sz w:val="22"/>
              </w:rPr>
              <w:t>Open Market Sale</w:t>
            </w:r>
          </w:p>
        </w:tc>
        <w:tc>
          <w:tcPr>
            <w:tcW w:type="dxa" w:w="1440"/>
          </w:tcPr>
          <w:p>
            <w:r>
              <w:rPr>
                <w:rFonts w:ascii="Calibri" w:hAnsi="Calibri"/>
                <w:sz w:val="22"/>
              </w:rPr>
              <w:t>775 shares / ~$272,676 (avg. $351.84/sh)</w:t>
            </w:r>
          </w:p>
        </w:tc>
        <w:tc>
          <w:tcPr>
            <w:tcW w:type="dxa" w:w="1440"/>
          </w:tcPr>
          <w:p>
            <w:r>
              <w:rPr>
                <w:rFonts w:ascii="Calibri" w:hAnsi="Calibri"/>
                <w:sz w:val="22"/>
              </w:rPr>
              <w:t>May 7, 2026</w:t>
            </w:r>
          </w:p>
        </w:tc>
        <w:tc>
          <w:tcPr>
            <w:tcW w:type="dxa" w:w="1440"/>
          </w:tcPr>
          <w:p>
            <w:r>
              <w:rPr>
                <w:rFonts w:ascii="Calibri" w:hAnsi="Calibri"/>
                <w:sz w:val="22"/>
              </w:rPr>
              <w:t>Discretionary sale; small relative to 8,170 shares remaining post-sale; not a significant signal</w:t>
            </w:r>
          </w:p>
        </w:tc>
      </w:tr>
      <w:tr>
        <w:tc>
          <w:tcPr>
            <w:tcW w:type="dxa" w:w="1440"/>
          </w:tcPr>
          <w:p>
            <w:r>
              <w:rPr>
                <w:rFonts w:ascii="Calibri" w:hAnsi="Calibri"/>
                <w:sz w:val="22"/>
              </w:rPr>
              <w:t>Elias F. Habayeb</w:t>
            </w:r>
          </w:p>
        </w:tc>
        <w:tc>
          <w:tcPr>
            <w:tcW w:type="dxa" w:w="1440"/>
          </w:tcPr>
          <w:p>
            <w:r>
              <w:rPr>
                <w:rFonts w:ascii="Calibri" w:hAnsi="Calibri"/>
                <w:sz w:val="22"/>
              </w:rPr>
              <w:t>EVP &amp; CFO</w:t>
            </w:r>
          </w:p>
        </w:tc>
        <w:tc>
          <w:tcPr>
            <w:tcW w:type="dxa" w:w="1440"/>
          </w:tcPr>
          <w:p>
            <w:r>
              <w:rPr>
                <w:rFonts w:ascii="Calibri" w:hAnsi="Calibri"/>
                <w:sz w:val="22"/>
              </w:rPr>
              <w:t>Award (Compensation Grant)</w:t>
            </w:r>
          </w:p>
        </w:tc>
        <w:tc>
          <w:tcPr>
            <w:tcW w:type="dxa" w:w="1440"/>
          </w:tcPr>
          <w:p>
            <w:r>
              <w:rPr>
                <w:rFonts w:ascii="Calibri" w:hAnsi="Calibri"/>
                <w:sz w:val="22"/>
              </w:rPr>
              <w:t>21,098 shares awarded</w:t>
            </w:r>
          </w:p>
        </w:tc>
        <w:tc>
          <w:tcPr>
            <w:tcW w:type="dxa" w:w="1440"/>
          </w:tcPr>
          <w:p>
            <w:r>
              <w:rPr>
                <w:rFonts w:ascii="Calibri" w:hAnsi="Calibri"/>
                <w:sz w:val="22"/>
              </w:rPr>
              <w:t>May 12, 2026</w:t>
            </w:r>
          </w:p>
        </w:tc>
        <w:tc>
          <w:tcPr>
            <w:tcW w:type="dxa" w:w="1440"/>
          </w:tcPr>
          <w:p>
            <w:r>
              <w:rPr>
                <w:rFonts w:ascii="Calibri" w:hAnsi="Calibri"/>
                <w:sz w:val="22"/>
              </w:rPr>
              <w:t>Routine equity compensation grant to new CFO; not an open-market purchase</w:t>
            </w:r>
          </w:p>
        </w:tc>
      </w:tr>
      <w:tr>
        <w:tc>
          <w:tcPr>
            <w:tcW w:type="dxa" w:w="1440"/>
          </w:tcPr>
          <w:p>
            <w:r>
              <w:rPr>
                <w:rFonts w:ascii="Calibri" w:hAnsi="Calibri"/>
                <w:sz w:val="22"/>
              </w:rPr>
              <w:t>Meryl D. Hartzband</w:t>
            </w:r>
          </w:p>
        </w:tc>
        <w:tc>
          <w:tcPr>
            <w:tcW w:type="dxa" w:w="1440"/>
          </w:tcPr>
          <w:p>
            <w:r>
              <w:rPr>
                <w:rFonts w:ascii="Calibri" w:hAnsi="Calibri"/>
                <w:sz w:val="22"/>
              </w:rPr>
              <w:t>Director</w:t>
            </w:r>
          </w:p>
        </w:tc>
        <w:tc>
          <w:tcPr>
            <w:tcW w:type="dxa" w:w="1440"/>
          </w:tcPr>
          <w:p>
            <w:r>
              <w:rPr>
                <w:rFonts w:ascii="Calibri" w:hAnsi="Calibri"/>
                <w:sz w:val="22"/>
              </w:rPr>
              <w:t>Award (Compensation Grant)</w:t>
            </w:r>
          </w:p>
        </w:tc>
        <w:tc>
          <w:tcPr>
            <w:tcW w:type="dxa" w:w="1440"/>
          </w:tcPr>
          <w:p>
            <w:r>
              <w:rPr>
                <w:rFonts w:ascii="Calibri" w:hAnsi="Calibri"/>
                <w:sz w:val="22"/>
              </w:rPr>
              <w:t>86 shares awarded</w:t>
            </w:r>
          </w:p>
        </w:tc>
        <w:tc>
          <w:tcPr>
            <w:tcW w:type="dxa" w:w="1440"/>
          </w:tcPr>
          <w:p>
            <w:r>
              <w:rPr>
                <w:rFonts w:ascii="Calibri" w:hAnsi="Calibri"/>
                <w:sz w:val="22"/>
              </w:rPr>
              <w:t>July 1, 2026</w:t>
            </w:r>
          </w:p>
        </w:tc>
        <w:tc>
          <w:tcPr>
            <w:tcW w:type="dxa" w:w="1440"/>
          </w:tcPr>
          <w:p>
            <w:r>
              <w:rPr>
                <w:rFonts w:ascii="Calibri" w:hAnsi="Calibri"/>
                <w:sz w:val="22"/>
              </w:rPr>
              <w:t>Routine director equity compensation; not an open-market purchase</w:t>
            </w:r>
          </w:p>
        </w:tc>
      </w:tr>
      <w:tr>
        <w:tc>
          <w:tcPr>
            <w:tcW w:type="dxa" w:w="1440"/>
          </w:tcPr>
          <w:p>
            <w:r>
              <w:rPr>
                <w:rFonts w:ascii="Calibri" w:hAnsi="Calibri"/>
                <w:sz w:val="22"/>
              </w:rPr>
              <w:t>John M. Howard</w:t>
            </w:r>
          </w:p>
        </w:tc>
        <w:tc>
          <w:tcPr>
            <w:tcW w:type="dxa" w:w="1440"/>
          </w:tcPr>
          <w:p>
            <w:r>
              <w:rPr>
                <w:rFonts w:ascii="Calibri" w:hAnsi="Calibri"/>
                <w:sz w:val="22"/>
              </w:rPr>
              <w:t>Director</w:t>
            </w:r>
          </w:p>
        </w:tc>
        <w:tc>
          <w:tcPr>
            <w:tcW w:type="dxa" w:w="1440"/>
          </w:tcPr>
          <w:p>
            <w:r>
              <w:rPr>
                <w:rFonts w:ascii="Calibri" w:hAnsi="Calibri"/>
                <w:sz w:val="22"/>
              </w:rPr>
              <w:t>Award (Compensation Grant)</w:t>
            </w:r>
          </w:p>
        </w:tc>
        <w:tc>
          <w:tcPr>
            <w:tcW w:type="dxa" w:w="1440"/>
          </w:tcPr>
          <w:p>
            <w:r>
              <w:rPr>
                <w:rFonts w:ascii="Calibri" w:hAnsi="Calibri"/>
                <w:sz w:val="22"/>
              </w:rPr>
              <w:t>86 shares awarded</w:t>
            </w:r>
          </w:p>
        </w:tc>
        <w:tc>
          <w:tcPr>
            <w:tcW w:type="dxa" w:w="1440"/>
          </w:tcPr>
          <w:p>
            <w:r>
              <w:rPr>
                <w:rFonts w:ascii="Calibri" w:hAnsi="Calibri"/>
                <w:sz w:val="22"/>
              </w:rPr>
              <w:t>July 1, 2026</w:t>
            </w:r>
          </w:p>
        </w:tc>
        <w:tc>
          <w:tcPr>
            <w:tcW w:type="dxa" w:w="1440"/>
          </w:tcPr>
          <w:p>
            <w:r>
              <w:rPr>
                <w:rFonts w:ascii="Calibri" w:hAnsi="Calibri"/>
                <w:sz w:val="22"/>
              </w:rPr>
              <w:t>Routine director equity compensation; not an open-market purchase</w:t>
            </w:r>
          </w:p>
        </w:tc>
      </w:tr>
      <w:tr>
        <w:tc>
          <w:tcPr>
            <w:tcW w:type="dxa" w:w="1440"/>
          </w:tcPr>
          <w:p>
            <w:r>
              <w:rPr>
                <w:rFonts w:ascii="Calibri" w:hAnsi="Calibri"/>
                <w:sz w:val="22"/>
              </w:rPr>
              <w:t>Allan Levine</w:t>
            </w:r>
          </w:p>
        </w:tc>
        <w:tc>
          <w:tcPr>
            <w:tcW w:type="dxa" w:w="1440"/>
          </w:tcPr>
          <w:p>
            <w:r>
              <w:rPr>
                <w:rFonts w:ascii="Calibri" w:hAnsi="Calibri"/>
                <w:sz w:val="22"/>
              </w:rPr>
              <w:t>Director</w:t>
            </w:r>
          </w:p>
        </w:tc>
        <w:tc>
          <w:tcPr>
            <w:tcW w:type="dxa" w:w="1440"/>
          </w:tcPr>
          <w:p>
            <w:r>
              <w:rPr>
                <w:rFonts w:ascii="Calibri" w:hAnsi="Calibri"/>
                <w:sz w:val="22"/>
              </w:rPr>
              <w:t>Award (Compensation Grant)</w:t>
            </w:r>
          </w:p>
        </w:tc>
        <w:tc>
          <w:tcPr>
            <w:tcW w:type="dxa" w:w="1440"/>
          </w:tcPr>
          <w:p>
            <w:r>
              <w:rPr>
                <w:rFonts w:ascii="Calibri" w:hAnsi="Calibri"/>
                <w:sz w:val="22"/>
              </w:rPr>
              <w:t>86 shares awarded</w:t>
            </w:r>
          </w:p>
        </w:tc>
        <w:tc>
          <w:tcPr>
            <w:tcW w:type="dxa" w:w="1440"/>
          </w:tcPr>
          <w:p>
            <w:r>
              <w:rPr>
                <w:rFonts w:ascii="Calibri" w:hAnsi="Calibri"/>
                <w:sz w:val="22"/>
              </w:rPr>
              <w:t>July 1, 2026</w:t>
            </w:r>
          </w:p>
        </w:tc>
        <w:tc>
          <w:tcPr>
            <w:tcW w:type="dxa" w:w="1440"/>
          </w:tcPr>
          <w:p>
            <w:r>
              <w:rPr>
                <w:rFonts w:ascii="Calibri" w:hAnsi="Calibri"/>
                <w:sz w:val="22"/>
              </w:rPr>
              <w:t>Routine director equity compensation; not an open-market purchase</w:t>
            </w:r>
          </w:p>
        </w:tc>
      </w:tr>
    </w:tbl>
    <w:p>
      <w:r>
        <w:rPr>
          <w:rFonts w:ascii="Calibri" w:hAnsi="Calibri"/>
          <w:i/>
          <w:color w:val="525866"/>
          <w:sz w:val="22"/>
        </w:rPr>
        <w:t>Source: SEC Form 4 filings via insider transaction data.</w:t>
      </w:r>
    </w:p>
    <w:p>
      <w:r>
        <w:rPr>
          <w:rFonts w:ascii="Calibri" w:hAnsi="Calibri"/>
          <w:color w:val="525866"/>
          <w:sz w:val="22"/>
        </w:rPr>
        <w:t>No open-market buys have been filed by insiders since Q1 2026 earnings. The only open-market sale (Jason Keen, 775 shares) is small and not a meaningful bearish signal. The absence of insider buying is notable given management’s stated conviction that the stock is undervalued — though the company’s own $300M/quarter buyback program is the primary vehicle for expressing that conviction.</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