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Everest Group Ltd. (EG)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Everest Group Ltd.</w:t>
            </w:r>
          </w:p>
        </w:tc>
      </w:tr>
      <w:tr>
        <w:tc>
          <w:tcPr>
            <w:tcW w:type="dxa" w:w="4320"/>
          </w:tcPr>
          <w:p>
            <w:r>
              <w:rPr>
                <w:rFonts w:ascii="Calibri" w:hAnsi="Calibri"/>
                <w:b/>
                <w:sz w:val="22"/>
              </w:rPr>
              <w:t>Ticker</w:t>
            </w:r>
          </w:p>
        </w:tc>
        <w:tc>
          <w:tcPr>
            <w:tcW w:type="dxa" w:w="4320"/>
          </w:tcPr>
          <w:p>
            <w:r>
              <w:rPr>
                <w:rFonts w:ascii="Calibri" w:hAnsi="Calibri"/>
                <w:sz w:val="22"/>
              </w:rPr>
              <w:t>EG</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KIE (SPDR S&amp;P Insurance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after a Q1 beat, but the single biggest swing factor is the size of any Baltimore Bridge adverse reserve development and whether alternative investment income normalizes from Q1's outsized level.</w:t>
      </w:r>
    </w:p>
    <w:p>
      <w:r>
        <w:rPr>
          <w:rFonts w:ascii="Calibri" w:hAnsi="Calibri"/>
          <w:color w:val="525866"/>
          <w:sz w:val="22"/>
        </w:rPr>
        <w:t xml:space="preserve">Heading into Q2 2026, the bar for Everest Group looks achievable but not easy. Consensus operating EPS sits at </w:t>
      </w:r>
      <w:r>
        <w:rPr>
          <w:rFonts w:ascii="Calibri" w:hAnsi="Calibri"/>
          <w:b/>
          <w:color w:val="525866"/>
          <w:sz w:val="22"/>
        </w:rPr>
        <w:t>$14.74</w:t>
      </w:r>
      <w:r>
        <w:rPr>
          <w:rFonts w:ascii="Calibri" w:hAnsi="Calibri"/>
          <w:color w:val="525866"/>
          <w:sz w:val="22"/>
        </w:rPr>
        <w:t xml:space="preserve"> — a step down from Q1's $16.08 actual, reflecting the expectation that Q1's exceptional alternative investment returns ($156M vs. $55M in the prior year) will not repeat at the same magnitude. The combined ratio consensus of </w:t>
      </w:r>
      <w:r>
        <w:rPr>
          <w:rFonts w:ascii="Calibri" w:hAnsi="Calibri"/>
          <w:b/>
          <w:color w:val="525866"/>
          <w:sz w:val="22"/>
        </w:rPr>
        <w:t>~91.98%</w:t>
      </w:r>
      <w:r>
        <w:rPr>
          <w:rFonts w:ascii="Calibri" w:hAnsi="Calibri"/>
          <w:color w:val="525866"/>
          <w:sz w:val="22"/>
        </w:rPr>
        <w:t xml:space="preserve"> is broadly in line with management's stated trajectory toward the low-90s for the go-forward platform, suggesting the street is not pricing in a meaningful underwriting surprise in either direction. Estimate revisions have been modestly negative since the Q1 print — Q2 EPS consensus drifted from $14.73 to $14.74 (essentially flat), while FY2026 EPS slipped from $53.21 to $51.50 — indicating the market absorbed the Q1 beat without materially raising the bar, which is a mild positive setup. The stock has rallied </w:t>
      </w:r>
      <w:r>
        <w:rPr>
          <w:rFonts w:ascii="Calibri" w:hAnsi="Calibri"/>
          <w:b/>
          <w:color w:val="525866"/>
          <w:sz w:val="22"/>
        </w:rPr>
        <w:t>+15.9%</w:t>
      </w:r>
      <w:r>
        <w:rPr>
          <w:rFonts w:ascii="Calibri" w:hAnsi="Calibri"/>
          <w:color w:val="525866"/>
          <w:sz w:val="22"/>
        </w:rPr>
        <w:t xml:space="preserve"> since the April 29 earnings date (from $344 to ~$399), outperforming KIE (+16.1%) and SPY (+4.1%), driven almost entirely by multiple expansion rather than estimate upgrades — a dynamic that leaves the stock somewhat vulnerable if Q2 results disappoint. The key wildcard is the </w:t>
      </w:r>
      <w:r>
        <w:rPr>
          <w:rFonts w:ascii="Calibri" w:hAnsi="Calibri"/>
          <w:b/>
          <w:color w:val="525866"/>
          <w:sz w:val="22"/>
        </w:rPr>
        <w:t>Baltimore Bridge reserve development</w:t>
      </w:r>
      <w:r>
        <w:rPr>
          <w:rFonts w:ascii="Calibri" w:hAnsi="Calibri"/>
          <w:color w:val="525866"/>
          <w:sz w:val="22"/>
        </w:rPr>
        <w:t>: management flagged on the Q1 call that a "few tens of millions" of incremental loss reserve could flow through Q2 or Q3, and peer RenaissanceRe confirmed the industry loss estimate has grown materially, booking 4.1 points of adverse development in its casualty/specialty segment from the bridge settlement — a direct read-through that EG's $70M initial reserve may prove insufficient.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the combined ratio (91.98% vs. Q1 actual of 91.16%), but operating EPS is the bigger swing factor given the high sensitivity to alternative investment income, which was unusually elevated in Q1 and is unlikely to repeat at the same level.</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 Management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$16.08</w:t>
            </w:r>
          </w:p>
        </w:tc>
        <w:tc>
          <w:tcPr>
            <w:tcW w:type="dxa" w:w="1234"/>
          </w:tcPr>
          <w:p>
            <w:r>
              <w:rPr>
                <w:rFonts w:ascii="Calibri" w:hAnsi="Calibri"/>
                <w:sz w:val="22"/>
              </w:rPr>
              <w:t>$17.56</w:t>
            </w:r>
          </w:p>
        </w:tc>
        <w:tc>
          <w:tcPr>
            <w:tcW w:type="dxa" w:w="1234"/>
          </w:tcPr>
          <w:p>
            <w:r>
              <w:rPr>
                <w:rFonts w:ascii="Calibri" w:hAnsi="Calibri"/>
                <w:sz w:val="22"/>
              </w:rPr>
              <w:t>$14.74</w:t>
            </w:r>
          </w:p>
        </w:tc>
        <w:tc>
          <w:tcPr>
            <w:tcW w:type="dxa" w:w="1234"/>
          </w:tcPr>
          <w:p>
            <w:r>
              <w:rPr>
                <w:rFonts w:ascii="Calibri" w:hAnsi="Calibri"/>
                <w:sz w:val="22"/>
              </w:rPr>
              <w:t>-16.1%</w:t>
            </w:r>
          </w:p>
        </w:tc>
        <w:tc>
          <w:tcPr>
            <w:tcW w:type="dxa" w:w="1234"/>
          </w:tcPr>
          <w:p>
            <w:r>
              <w:rPr>
                <w:rFonts w:ascii="Calibri" w:hAnsi="Calibri"/>
                <w:sz w:val="22"/>
              </w:rPr>
              <w:t>No specific Q2 guidance; FY2026 implied ~$51.50 consensus</w:t>
            </w:r>
          </w:p>
        </w:tc>
        <w:tc>
          <w:tcPr>
            <w:tcW w:type="dxa" w:w="1234"/>
          </w:tcPr>
          <w:p>
            <w:r>
              <w:rPr>
                <w:rFonts w:ascii="Calibri" w:hAnsi="Calibri"/>
                <w:sz w:val="22"/>
              </w:rPr>
              <w:t>N/A (no explicit Q2 EPS guidance)</w:t>
            </w:r>
          </w:p>
        </w:tc>
      </w:tr>
      <w:tr>
        <w:tc>
          <w:tcPr>
            <w:tcW w:type="dxa" w:w="1234"/>
          </w:tcPr>
          <w:p>
            <w:r>
              <w:rPr>
                <w:rFonts w:ascii="Calibri" w:hAnsi="Calibri"/>
                <w:sz w:val="22"/>
              </w:rPr>
              <w:t>Gross Premium Written</w:t>
            </w:r>
          </w:p>
        </w:tc>
        <w:tc>
          <w:tcPr>
            <w:tcW w:type="dxa" w:w="1234"/>
          </w:tcPr>
          <w:p>
            <w:r>
              <w:rPr>
                <w:rFonts w:ascii="Calibri" w:hAnsi="Calibri"/>
                <w:sz w:val="22"/>
              </w:rPr>
              <w:t>$3.60B</w:t>
            </w:r>
          </w:p>
        </w:tc>
        <w:tc>
          <w:tcPr>
            <w:tcW w:type="dxa" w:w="1234"/>
          </w:tcPr>
          <w:p>
            <w:r>
              <w:rPr>
                <w:rFonts w:ascii="Calibri" w:hAnsi="Calibri"/>
                <w:sz w:val="22"/>
              </w:rPr>
              <w:t>$4.68B</w:t>
            </w:r>
          </w:p>
        </w:tc>
        <w:tc>
          <w:tcPr>
            <w:tcW w:type="dxa" w:w="1234"/>
          </w:tcPr>
          <w:p>
            <w:r>
              <w:rPr>
                <w:rFonts w:ascii="Calibri" w:hAnsi="Calibri"/>
                <w:sz w:val="22"/>
              </w:rPr>
              <w:t>$3.82B</w:t>
            </w:r>
          </w:p>
        </w:tc>
        <w:tc>
          <w:tcPr>
            <w:tcW w:type="dxa" w:w="1234"/>
          </w:tcPr>
          <w:p>
            <w:r>
              <w:rPr>
                <w:rFonts w:ascii="Calibri" w:hAnsi="Calibri"/>
                <w:sz w:val="22"/>
              </w:rPr>
              <w:t>-18.4%</w:t>
            </w:r>
          </w:p>
        </w:tc>
        <w:tc>
          <w:tcPr>
            <w:tcW w:type="dxa" w:w="1234"/>
          </w:tcPr>
          <w:p>
            <w:r>
              <w:rPr>
                <w:rFonts w:ascii="Calibri" w:hAnsi="Calibri"/>
                <w:sz w:val="22"/>
              </w:rPr>
              <w:t>Decline expected due to retail exit &amp; casualty runoff</w:t>
            </w:r>
          </w:p>
        </w:tc>
        <w:tc>
          <w:tcPr>
            <w:tcW w:type="dxa" w:w="1234"/>
          </w:tcPr>
          <w:p>
            <w:r>
              <w:rPr>
                <w:rFonts w:ascii="Calibri" w:hAnsi="Calibri"/>
                <w:sz w:val="22"/>
              </w:rPr>
              <w:t>N/A (directional only)</w:t>
            </w:r>
          </w:p>
        </w:tc>
      </w:tr>
      <w:tr>
        <w:tc>
          <w:tcPr>
            <w:tcW w:type="dxa" w:w="1234"/>
          </w:tcPr>
          <w:p>
            <w:r>
              <w:rPr>
                <w:rFonts w:ascii="Calibri" w:hAnsi="Calibri"/>
                <w:sz w:val="22"/>
              </w:rPr>
              <w:t>Combined Ratio (Group)</w:t>
            </w:r>
          </w:p>
        </w:tc>
        <w:tc>
          <w:tcPr>
            <w:tcW w:type="dxa" w:w="1234"/>
          </w:tcPr>
          <w:p>
            <w:r>
              <w:rPr>
                <w:rFonts w:ascii="Calibri" w:hAnsi="Calibri"/>
                <w:sz w:val="22"/>
              </w:rPr>
              <w:t>91.16%</w:t>
            </w:r>
          </w:p>
        </w:tc>
        <w:tc>
          <w:tcPr>
            <w:tcW w:type="dxa" w:w="1234"/>
          </w:tcPr>
          <w:p>
            <w:r>
              <w:rPr>
                <w:rFonts w:ascii="Calibri" w:hAnsi="Calibri"/>
                <w:sz w:val="22"/>
              </w:rPr>
              <w:t>90.35%</w:t>
            </w:r>
          </w:p>
        </w:tc>
        <w:tc>
          <w:tcPr>
            <w:tcW w:type="dxa" w:w="1234"/>
          </w:tcPr>
          <w:p>
            <w:r>
              <w:rPr>
                <w:rFonts w:ascii="Calibri" w:hAnsi="Calibri"/>
                <w:sz w:val="22"/>
              </w:rPr>
              <w:t>91.98%</w:t>
            </w:r>
          </w:p>
        </w:tc>
        <w:tc>
          <w:tcPr>
            <w:tcW w:type="dxa" w:w="1234"/>
          </w:tcPr>
          <w:p>
            <w:r>
              <w:rPr>
                <w:rFonts w:ascii="Calibri" w:hAnsi="Calibri"/>
                <w:sz w:val="22"/>
              </w:rPr>
              <w:t>+163 bps</w:t>
            </w:r>
          </w:p>
        </w:tc>
        <w:tc>
          <w:tcPr>
            <w:tcW w:type="dxa" w:w="1234"/>
          </w:tcPr>
          <w:p>
            <w:r>
              <w:rPr>
                <w:rFonts w:ascii="Calibri" w:hAnsi="Calibri"/>
                <w:sz w:val="22"/>
              </w:rPr>
              <w:t>Low-90s for go-forward platform; Legacy &gt;110% for FY2026</w:t>
            </w:r>
          </w:p>
        </w:tc>
        <w:tc>
          <w:tcPr>
            <w:tcW w:type="dxa" w:w="1234"/>
          </w:tcPr>
          <w:p>
            <w:r>
              <w:rPr>
                <w:rFonts w:ascii="Calibri" w:hAnsi="Calibri"/>
                <w:sz w:val="22"/>
              </w:rPr>
              <w:t>~In line with target</w:t>
            </w:r>
          </w:p>
        </w:tc>
      </w:tr>
      <w:tr>
        <w:tc>
          <w:tcPr>
            <w:tcW w:type="dxa" w:w="1234"/>
          </w:tcPr>
          <w:p>
            <w:r>
              <w:rPr>
                <w:rFonts w:ascii="Calibri" w:hAnsi="Calibri"/>
                <w:sz w:val="22"/>
              </w:rPr>
              <w:t>Net Investment Income</w:t>
            </w:r>
          </w:p>
        </w:tc>
        <w:tc>
          <w:tcPr>
            <w:tcW w:type="dxa" w:w="1234"/>
          </w:tcPr>
          <w:p>
            <w:r>
              <w:rPr>
                <w:rFonts w:ascii="Calibri" w:hAnsi="Calibri"/>
                <w:sz w:val="22"/>
              </w:rPr>
              <w:t>$567M</w:t>
            </w:r>
          </w:p>
        </w:tc>
        <w:tc>
          <w:tcPr>
            <w:tcW w:type="dxa" w:w="1234"/>
          </w:tcPr>
          <w:p>
            <w:r>
              <w:rPr>
                <w:rFonts w:ascii="Calibri" w:hAnsi="Calibri"/>
                <w:sz w:val="22"/>
              </w:rPr>
              <w:t>$532M</w:t>
            </w:r>
          </w:p>
        </w:tc>
        <w:tc>
          <w:tcPr>
            <w:tcW w:type="dxa" w:w="1234"/>
          </w:tcPr>
          <w:p>
            <w:r>
              <w:rPr>
                <w:rFonts w:ascii="Calibri" w:hAnsi="Calibri"/>
                <w:sz w:val="22"/>
              </w:rPr>
              <w:t>$496M</w:t>
            </w:r>
          </w:p>
        </w:tc>
        <w:tc>
          <w:tcPr>
            <w:tcW w:type="dxa" w:w="1234"/>
          </w:tcPr>
          <w:p>
            <w:r>
              <w:rPr>
                <w:rFonts w:ascii="Calibri" w:hAnsi="Calibri"/>
                <w:sz w:val="22"/>
              </w:rPr>
              <w:t>-6.8%</w:t>
            </w:r>
          </w:p>
        </w:tc>
        <w:tc>
          <w:tcPr>
            <w:tcW w:type="dxa" w:w="1234"/>
          </w:tcPr>
          <w:p>
            <w:r>
              <w:rPr>
                <w:rFonts w:ascii="Calibri" w:hAnsi="Calibri"/>
                <w:sz w:val="22"/>
              </w:rPr>
              <w:t>~$60M annual NII headwind from ADC; alt. returns expected to normalize</w:t>
            </w:r>
          </w:p>
        </w:tc>
        <w:tc>
          <w:tcPr>
            <w:tcW w:type="dxa" w:w="1234"/>
          </w:tcPr>
          <w:p>
            <w:r>
              <w:rPr>
                <w:rFonts w:ascii="Calibri" w:hAnsi="Calibri"/>
                <w:sz w:val="22"/>
              </w:rPr>
              <w:t>Consensus below Q1 actual; normalization of alt. returns assumed</w:t>
            </w:r>
          </w:p>
        </w:tc>
      </w:tr>
      <w:tr>
        <w:tc>
          <w:tcPr>
            <w:tcW w:type="dxa" w:w="1234"/>
          </w:tcPr>
          <w:p>
            <w:r>
              <w:rPr>
                <w:rFonts w:ascii="Calibri" w:hAnsi="Calibri"/>
                <w:sz w:val="22"/>
              </w:rPr>
              <w:t>Book Value Per Share</w:t>
            </w:r>
          </w:p>
        </w:tc>
        <w:tc>
          <w:tcPr>
            <w:tcW w:type="dxa" w:w="1234"/>
          </w:tcPr>
          <w:p>
            <w:r>
              <w:rPr>
                <w:rFonts w:ascii="Calibri" w:hAnsi="Calibri"/>
                <w:sz w:val="22"/>
              </w:rPr>
              <w:t>$383.75</w:t>
            </w:r>
          </w:p>
        </w:tc>
        <w:tc>
          <w:tcPr>
            <w:tcW w:type="dxa" w:w="1234"/>
          </w:tcPr>
          <w:p>
            <w:r>
              <w:rPr>
                <w:rFonts w:ascii="Calibri" w:hAnsi="Calibri"/>
                <w:sz w:val="22"/>
              </w:rPr>
              <w:t>$358.08</w:t>
            </w:r>
          </w:p>
        </w:tc>
        <w:tc>
          <w:tcPr>
            <w:tcW w:type="dxa" w:w="1234"/>
          </w:tcPr>
          <w:p>
            <w:r>
              <w:rPr>
                <w:rFonts w:ascii="Calibri" w:hAnsi="Calibri"/>
                <w:sz w:val="22"/>
              </w:rPr>
              <w:t>$396.74</w:t>
            </w:r>
          </w:p>
        </w:tc>
        <w:tc>
          <w:tcPr>
            <w:tcW w:type="dxa" w:w="1234"/>
          </w:tcPr>
          <w:p>
            <w:r>
              <w:rPr>
                <w:rFonts w:ascii="Calibri" w:hAnsi="Calibri"/>
                <w:sz w:val="22"/>
              </w:rPr>
              <w:t>+10.8%</w:t>
            </w:r>
          </w:p>
        </w:tc>
        <w:tc>
          <w:tcPr>
            <w:tcW w:type="dxa" w:w="1234"/>
          </w:tcPr>
          <w:p>
            <w:r>
              <w:rPr>
                <w:rFonts w:ascii="Calibri" w:hAnsi="Calibri"/>
                <w:sz w:val="22"/>
              </w:rPr>
              <w:t>Steady growth expected; capital release from retail exit in H2 2026</w:t>
            </w:r>
          </w:p>
        </w:tc>
        <w:tc>
          <w:tcPr>
            <w:tcW w:type="dxa" w:w="1234"/>
          </w:tcPr>
          <w:p>
            <w:r>
              <w:rPr>
                <w:rFonts w:ascii="Calibri" w:hAnsi="Calibri"/>
                <w:sz w:val="22"/>
              </w:rPr>
              <w:t>N/A (no explicit BVPS guidance)</w:t>
            </w:r>
          </w:p>
        </w:tc>
      </w:tr>
    </w:tbl>
    <w:p>
      <w:r>
        <w:rPr>
          <w:rFonts w:ascii="Calibri" w:hAnsi="Calibri"/>
          <w:color w:val="525866"/>
          <w:sz w:val="22"/>
        </w:rPr>
        <w:t>Sources: Visible Alpha Consensus and Actuals Data (Operating EPS, Gross Premium Written, Combined Ratio, Net Investment Income, Book Value Per Share); EG Q1 2026 Earnings Release and Transcript.</w:t>
      </w:r>
    </w:p>
    <w:p>
      <w:pPr>
        <w:pStyle w:val="Heading3"/>
      </w:pPr>
      <w:r>
        <w:rPr>
          <w:rFonts w:ascii="Calibri" w:hAnsi="Calibri"/>
          <w:b/>
          <w:color w:val="3B4259"/>
          <w:sz w:val="24"/>
        </w:rPr>
        <w:t>Table 2 — Beat/Miss History: Last 8 Quarters (Top 2 KPIs: Operating EPS &amp; Combined Ratio)</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$16.08</w:t>
            </w:r>
          </w:p>
        </w:tc>
        <w:tc>
          <w:tcPr>
            <w:tcW w:type="dxa" w:w="1440"/>
          </w:tcPr>
          <w:p>
            <w:r>
              <w:rPr>
                <w:rFonts w:ascii="Calibri" w:hAnsi="Calibri"/>
                <w:sz w:val="22"/>
              </w:rPr>
              <w:t>$13.95</w:t>
            </w:r>
          </w:p>
        </w:tc>
        <w:tc>
          <w:tcPr>
            <w:tcW w:type="dxa" w:w="1440"/>
          </w:tcPr>
          <w:p>
            <w:r>
              <w:rPr>
                <w:rFonts w:ascii="Calibri" w:hAnsi="Calibri"/>
                <w:b/>
                <w:color w:val="30A46C"/>
                <w:sz w:val="22"/>
              </w:rPr>
              <w:t>+15.3%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Combined Ratio</w:t>
            </w:r>
          </w:p>
        </w:tc>
        <w:tc>
          <w:tcPr>
            <w:tcW w:type="dxa" w:w="1440"/>
          </w:tcPr>
          <w:p>
            <w:r>
              <w:rPr>
                <w:rFonts w:ascii="Calibri" w:hAnsi="Calibri"/>
                <w:sz w:val="22"/>
              </w:rPr>
              <w:t>91.16%</w:t>
            </w:r>
          </w:p>
        </w:tc>
        <w:tc>
          <w:tcPr>
            <w:tcW w:type="dxa" w:w="1440"/>
          </w:tcPr>
          <w:p>
            <w:r>
              <w:rPr>
                <w:rFonts w:ascii="Calibri" w:hAnsi="Calibri"/>
                <w:sz w:val="22"/>
              </w:rPr>
              <w:t>92.92%</w:t>
            </w:r>
          </w:p>
        </w:tc>
        <w:tc>
          <w:tcPr>
            <w:tcW w:type="dxa" w:w="1440"/>
          </w:tcPr>
          <w:p>
            <w:r>
              <w:rPr>
                <w:rFonts w:ascii="Calibri" w:hAnsi="Calibri"/>
                <w:b/>
                <w:color w:val="30A46C"/>
                <w:sz w:val="22"/>
              </w:rPr>
              <w:t>+176 bps better</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$13.24</w:t>
            </w:r>
          </w:p>
        </w:tc>
        <w:tc>
          <w:tcPr>
            <w:tcW w:type="dxa" w:w="1440"/>
          </w:tcPr>
          <w:p>
            <w:r>
              <w:rPr>
                <w:rFonts w:ascii="Calibri" w:hAnsi="Calibri"/>
                <w:sz w:val="22"/>
              </w:rPr>
              <w:t>$13.61</w:t>
            </w:r>
          </w:p>
        </w:tc>
        <w:tc>
          <w:tcPr>
            <w:tcW w:type="dxa" w:w="1440"/>
          </w:tcPr>
          <w:p>
            <w:r>
              <w:rPr>
                <w:rFonts w:ascii="Calibri" w:hAnsi="Calibri"/>
                <w:b/>
                <w:color w:val="E5484D"/>
                <w:sz w:val="22"/>
              </w:rPr>
              <w:t>-2.7%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Combined Ratio</w:t>
            </w:r>
          </w:p>
        </w:tc>
        <w:tc>
          <w:tcPr>
            <w:tcW w:type="dxa" w:w="1440"/>
          </w:tcPr>
          <w:p>
            <w:r>
              <w:rPr>
                <w:rFonts w:ascii="Calibri" w:hAnsi="Calibri"/>
                <w:sz w:val="22"/>
              </w:rPr>
              <w:t>98.45%</w:t>
            </w:r>
          </w:p>
        </w:tc>
        <w:tc>
          <w:tcPr>
            <w:tcW w:type="dxa" w:w="1440"/>
          </w:tcPr>
          <w:p>
            <w:r>
              <w:rPr>
                <w:rFonts w:ascii="Calibri" w:hAnsi="Calibri"/>
                <w:sz w:val="22"/>
              </w:rPr>
              <w:t>96.48%</w:t>
            </w:r>
          </w:p>
        </w:tc>
        <w:tc>
          <w:tcPr>
            <w:tcW w:type="dxa" w:w="1440"/>
          </w:tcPr>
          <w:p>
            <w:r>
              <w:rPr>
                <w:rFonts w:ascii="Calibri" w:hAnsi="Calibri"/>
                <w:b/>
                <w:color w:val="E5484D"/>
                <w:sz w:val="22"/>
              </w:rPr>
              <w:t>-197 bps worse</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$7.55</w:t>
            </w:r>
          </w:p>
        </w:tc>
        <w:tc>
          <w:tcPr>
            <w:tcW w:type="dxa" w:w="1440"/>
          </w:tcPr>
          <w:p>
            <w:r>
              <w:rPr>
                <w:rFonts w:ascii="Calibri" w:hAnsi="Calibri"/>
                <w:sz w:val="22"/>
              </w:rPr>
              <w:t>$14.58</w:t>
            </w:r>
          </w:p>
        </w:tc>
        <w:tc>
          <w:tcPr>
            <w:tcW w:type="dxa" w:w="1440"/>
          </w:tcPr>
          <w:p>
            <w:r>
              <w:rPr>
                <w:rFonts w:ascii="Calibri" w:hAnsi="Calibri"/>
                <w:b/>
                <w:color w:val="E5484D"/>
                <w:sz w:val="22"/>
              </w:rPr>
              <w:t>-48.2%</w:t>
            </w:r>
          </w:p>
        </w:tc>
        <w:tc>
          <w:tcPr>
            <w:tcW w:type="dxa" w:w="1440"/>
          </w:tcPr>
          <w:p>
            <w:r>
              <w:rPr>
                <w:rFonts w:ascii="Calibri" w:hAnsi="Calibri"/>
                <w:b/>
                <w:color w:val="E5484D"/>
                <w:sz w:val="22"/>
              </w:rPr>
              <w:t>Miss (cat-heavy)</w:t>
            </w:r>
          </w:p>
        </w:tc>
      </w:tr>
      <w:tr>
        <w:tc>
          <w:tcPr>
            <w:tcW w:type="dxa" w:w="1440"/>
          </w:tcPr>
          <w:p>
            <w:r>
              <w:rPr>
                <w:rFonts w:ascii="Calibri" w:hAnsi="Calibri"/>
                <w:sz w:val="22"/>
              </w:rPr>
              <w:t>Q3 2025</w:t>
            </w:r>
          </w:p>
        </w:tc>
        <w:tc>
          <w:tcPr>
            <w:tcW w:type="dxa" w:w="1440"/>
          </w:tcPr>
          <w:p>
            <w:r>
              <w:rPr>
                <w:rFonts w:ascii="Calibri" w:hAnsi="Calibri"/>
                <w:sz w:val="22"/>
              </w:rPr>
              <w:t>Combined Ratio</w:t>
            </w:r>
          </w:p>
        </w:tc>
        <w:tc>
          <w:tcPr>
            <w:tcW w:type="dxa" w:w="1440"/>
          </w:tcPr>
          <w:p>
            <w:r>
              <w:rPr>
                <w:rFonts w:ascii="Calibri" w:hAnsi="Calibri"/>
                <w:sz w:val="22"/>
              </w:rPr>
              <w:t>103.42%</w:t>
            </w:r>
          </w:p>
        </w:tc>
        <w:tc>
          <w:tcPr>
            <w:tcW w:type="dxa" w:w="1440"/>
          </w:tcPr>
          <w:p>
            <w:r>
              <w:rPr>
                <w:rFonts w:ascii="Calibri" w:hAnsi="Calibri"/>
                <w:sz w:val="22"/>
              </w:rPr>
              <w:t>92.92%</w:t>
            </w:r>
          </w:p>
        </w:tc>
        <w:tc>
          <w:tcPr>
            <w:tcW w:type="dxa" w:w="1440"/>
          </w:tcPr>
          <w:p>
            <w:r>
              <w:rPr>
                <w:rFonts w:ascii="Calibri" w:hAnsi="Calibri"/>
                <w:b/>
                <w:color w:val="E5484D"/>
                <w:sz w:val="22"/>
              </w:rPr>
              <w:t>-1,050 bps worse</w:t>
            </w:r>
          </w:p>
        </w:tc>
        <w:tc>
          <w:tcPr>
            <w:tcW w:type="dxa" w:w="1440"/>
          </w:tcPr>
          <w:p>
            <w:r>
              <w:rPr>
                <w:rFonts w:ascii="Calibri" w:hAnsi="Calibri"/>
                <w:b/>
                <w:color w:val="E5484D"/>
                <w:sz w:val="22"/>
              </w:rPr>
              <w:t>Miss (cat-heavy)</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$17.56</w:t>
            </w:r>
          </w:p>
        </w:tc>
        <w:tc>
          <w:tcPr>
            <w:tcW w:type="dxa" w:w="1440"/>
          </w:tcPr>
          <w:p>
            <w:r>
              <w:rPr>
                <w:rFonts w:ascii="Calibri" w:hAnsi="Calibri"/>
                <w:sz w:val="22"/>
              </w:rPr>
              <w:t>$15.00</w:t>
            </w:r>
          </w:p>
        </w:tc>
        <w:tc>
          <w:tcPr>
            <w:tcW w:type="dxa" w:w="1440"/>
          </w:tcPr>
          <w:p>
            <w:r>
              <w:rPr>
                <w:rFonts w:ascii="Calibri" w:hAnsi="Calibri"/>
                <w:b/>
                <w:color w:val="30A46C"/>
                <w:sz w:val="22"/>
              </w:rPr>
              <w:t>+17.1%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Combined Ratio</w:t>
            </w:r>
          </w:p>
        </w:tc>
        <w:tc>
          <w:tcPr>
            <w:tcW w:type="dxa" w:w="1440"/>
          </w:tcPr>
          <w:p>
            <w:r>
              <w:rPr>
                <w:rFonts w:ascii="Calibri" w:hAnsi="Calibri"/>
                <w:sz w:val="22"/>
              </w:rPr>
              <w:t>90.35%</w:t>
            </w:r>
          </w:p>
        </w:tc>
        <w:tc>
          <w:tcPr>
            <w:tcW w:type="dxa" w:w="1440"/>
          </w:tcPr>
          <w:p>
            <w:r>
              <w:rPr>
                <w:rFonts w:ascii="Calibri" w:hAnsi="Calibri"/>
                <w:sz w:val="22"/>
              </w:rPr>
              <w:t>91.94%</w:t>
            </w:r>
          </w:p>
        </w:tc>
        <w:tc>
          <w:tcPr>
            <w:tcW w:type="dxa" w:w="1440"/>
          </w:tcPr>
          <w:p>
            <w:r>
              <w:rPr>
                <w:rFonts w:ascii="Calibri" w:hAnsi="Calibri"/>
                <w:b/>
                <w:color w:val="30A46C"/>
                <w:sz w:val="22"/>
              </w:rPr>
              <w:t>+159 bps better</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$6.45</w:t>
            </w:r>
          </w:p>
        </w:tc>
        <w:tc>
          <w:tcPr>
            <w:tcW w:type="dxa" w:w="1440"/>
          </w:tcPr>
          <w:p>
            <w:r>
              <w:rPr>
                <w:rFonts w:ascii="Calibri" w:hAnsi="Calibri"/>
                <w:sz w:val="22"/>
              </w:rPr>
              <w:t>$7.63</w:t>
            </w:r>
          </w:p>
        </w:tc>
        <w:tc>
          <w:tcPr>
            <w:tcW w:type="dxa" w:w="1440"/>
          </w:tcPr>
          <w:p>
            <w:r>
              <w:rPr>
                <w:rFonts w:ascii="Calibri" w:hAnsi="Calibri"/>
                <w:b/>
                <w:color w:val="E5484D"/>
                <w:sz w:val="22"/>
              </w:rPr>
              <w:t>-15.5%</w:t>
            </w:r>
          </w:p>
        </w:tc>
        <w:tc>
          <w:tcPr>
            <w:tcW w:type="dxa" w:w="1440"/>
          </w:tcPr>
          <w:p>
            <w:r>
              <w:rPr>
                <w:rFonts w:ascii="Calibri" w:hAnsi="Calibri"/>
                <w:b/>
                <w:color w:val="E5484D"/>
                <w:sz w:val="22"/>
              </w:rPr>
              <w:t>Miss (LA fires)</w:t>
            </w:r>
          </w:p>
        </w:tc>
      </w:tr>
      <w:tr>
        <w:tc>
          <w:tcPr>
            <w:tcW w:type="dxa" w:w="1440"/>
          </w:tcPr>
          <w:p>
            <w:r>
              <w:rPr>
                <w:rFonts w:ascii="Calibri" w:hAnsi="Calibri"/>
                <w:sz w:val="22"/>
              </w:rPr>
              <w:t>Q1 2025</w:t>
            </w:r>
          </w:p>
        </w:tc>
        <w:tc>
          <w:tcPr>
            <w:tcW w:type="dxa" w:w="1440"/>
          </w:tcPr>
          <w:p>
            <w:r>
              <w:rPr>
                <w:rFonts w:ascii="Calibri" w:hAnsi="Calibri"/>
                <w:sz w:val="22"/>
              </w:rPr>
              <w:t>Combined Ratio</w:t>
            </w:r>
          </w:p>
        </w:tc>
        <w:tc>
          <w:tcPr>
            <w:tcW w:type="dxa" w:w="1440"/>
          </w:tcPr>
          <w:p>
            <w:r>
              <w:rPr>
                <w:rFonts w:ascii="Calibri" w:hAnsi="Calibri"/>
                <w:sz w:val="22"/>
              </w:rPr>
              <w:t>102.70%</w:t>
            </w:r>
          </w:p>
        </w:tc>
        <w:tc>
          <w:tcPr>
            <w:tcW w:type="dxa" w:w="1440"/>
          </w:tcPr>
          <w:p>
            <w:r>
              <w:rPr>
                <w:rFonts w:ascii="Calibri" w:hAnsi="Calibri"/>
                <w:sz w:val="22"/>
              </w:rPr>
              <w:t>101.42%</w:t>
            </w:r>
          </w:p>
        </w:tc>
        <w:tc>
          <w:tcPr>
            <w:tcW w:type="dxa" w:w="1440"/>
          </w:tcPr>
          <w:p>
            <w:r>
              <w:rPr>
                <w:rFonts w:ascii="Calibri" w:hAnsi="Calibri"/>
                <w:b/>
                <w:color w:val="E5484D"/>
                <w:sz w:val="22"/>
              </w:rPr>
              <w:t>-128 bps worse</w:t>
            </w:r>
          </w:p>
        </w:tc>
        <w:tc>
          <w:tcPr>
            <w:tcW w:type="dxa" w:w="1440"/>
          </w:tcPr>
          <w:p>
            <w:r>
              <w:rPr>
                <w:rFonts w:ascii="Calibri" w:hAnsi="Calibri"/>
                <w:b/>
                <w:color w:val="E5484D"/>
                <w:sz w:val="22"/>
              </w:rPr>
              <w:t>Miss (LA fires)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-$18.39</w:t>
            </w:r>
          </w:p>
        </w:tc>
        <w:tc>
          <w:tcPr>
            <w:tcW w:type="dxa" w:w="1440"/>
          </w:tcPr>
          <w:p>
            <w:r>
              <w:rPr>
                <w:rFonts w:ascii="Calibri" w:hAnsi="Calibri"/>
                <w:sz w:val="22"/>
              </w:rPr>
              <w:t>-$16.06</w:t>
            </w:r>
          </w:p>
        </w:tc>
        <w:tc>
          <w:tcPr>
            <w:tcW w:type="dxa" w:w="1440"/>
          </w:tcPr>
          <w:p>
            <w:r>
              <w:rPr>
                <w:rFonts w:ascii="Calibri" w:hAnsi="Calibri"/>
                <w:b/>
                <w:color w:val="E5484D"/>
                <w:sz w:val="22"/>
              </w:rPr>
              <w:t>N/M (reserve charge)</w:t>
            </w:r>
          </w:p>
        </w:tc>
        <w:tc>
          <w:tcPr>
            <w:tcW w:type="dxa" w:w="1440"/>
          </w:tcPr>
          <w:p>
            <w:r>
              <w:rPr>
                <w:rFonts w:ascii="Calibri" w:hAnsi="Calibri"/>
                <w:b/>
                <w:color w:val="E5484D"/>
                <w:sz w:val="22"/>
              </w:rPr>
              <w:t>Miss (reserve charge)</w:t>
            </w:r>
          </w:p>
        </w:tc>
      </w:tr>
      <w:tr>
        <w:tc>
          <w:tcPr>
            <w:tcW w:type="dxa" w:w="1440"/>
          </w:tcPr>
          <w:p>
            <w:r>
              <w:rPr>
                <w:rFonts w:ascii="Calibri" w:hAnsi="Calibri"/>
                <w:sz w:val="22"/>
              </w:rPr>
              <w:t>Q4 2024</w:t>
            </w:r>
          </w:p>
        </w:tc>
        <w:tc>
          <w:tcPr>
            <w:tcW w:type="dxa" w:w="1440"/>
          </w:tcPr>
          <w:p>
            <w:r>
              <w:rPr>
                <w:rFonts w:ascii="Calibri" w:hAnsi="Calibri"/>
                <w:sz w:val="22"/>
              </w:rPr>
              <w:t>Combined Ratio</w:t>
            </w:r>
          </w:p>
        </w:tc>
        <w:tc>
          <w:tcPr>
            <w:tcW w:type="dxa" w:w="1440"/>
          </w:tcPr>
          <w:p>
            <w:r>
              <w:rPr>
                <w:rFonts w:ascii="Calibri" w:hAnsi="Calibri"/>
                <w:sz w:val="22"/>
              </w:rPr>
              <w:t>135.54%</w:t>
            </w:r>
          </w:p>
        </w:tc>
        <w:tc>
          <w:tcPr>
            <w:tcW w:type="dxa" w:w="1440"/>
          </w:tcPr>
          <w:p>
            <w:r>
              <w:rPr>
                <w:rFonts w:ascii="Calibri" w:hAnsi="Calibri"/>
                <w:sz w:val="22"/>
              </w:rPr>
              <w:t>133.95%</w:t>
            </w:r>
          </w:p>
        </w:tc>
        <w:tc>
          <w:tcPr>
            <w:tcW w:type="dxa" w:w="1440"/>
          </w:tcPr>
          <w:p>
            <w:r>
              <w:rPr>
                <w:rFonts w:ascii="Calibri" w:hAnsi="Calibri"/>
                <w:b/>
                <w:color w:val="E5484D"/>
                <w:sz w:val="22"/>
              </w:rPr>
              <w:t>-159 bps worse</w:t>
            </w:r>
          </w:p>
        </w:tc>
        <w:tc>
          <w:tcPr>
            <w:tcW w:type="dxa" w:w="1440"/>
          </w:tcPr>
          <w:p>
            <w:r>
              <w:rPr>
                <w:rFonts w:ascii="Calibri" w:hAnsi="Calibri"/>
                <w:b/>
                <w:color w:val="E5484D"/>
                <w:sz w:val="22"/>
              </w:rPr>
              <w:t>Miss (reserve charge)</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$14.62</w:t>
            </w:r>
          </w:p>
        </w:tc>
        <w:tc>
          <w:tcPr>
            <w:tcW w:type="dxa" w:w="1440"/>
          </w:tcPr>
          <w:p>
            <w:r>
              <w:rPr>
                <w:rFonts w:ascii="Calibri" w:hAnsi="Calibri"/>
                <w:sz w:val="22"/>
              </w:rPr>
              <w:t>$12.08</w:t>
            </w:r>
          </w:p>
        </w:tc>
        <w:tc>
          <w:tcPr>
            <w:tcW w:type="dxa" w:w="1440"/>
          </w:tcPr>
          <w:p>
            <w:r>
              <w:rPr>
                <w:rFonts w:ascii="Calibri" w:hAnsi="Calibri"/>
                <w:b/>
                <w:color w:val="30A46C"/>
                <w:sz w:val="22"/>
              </w:rPr>
              <w:t>+21.0%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Combined Ratio</w:t>
            </w:r>
          </w:p>
        </w:tc>
        <w:tc>
          <w:tcPr>
            <w:tcW w:type="dxa" w:w="1440"/>
          </w:tcPr>
          <w:p>
            <w:r>
              <w:rPr>
                <w:rFonts w:ascii="Calibri" w:hAnsi="Calibri"/>
                <w:sz w:val="22"/>
              </w:rPr>
              <w:t>93.05%</w:t>
            </w:r>
          </w:p>
        </w:tc>
        <w:tc>
          <w:tcPr>
            <w:tcW w:type="dxa" w:w="1440"/>
          </w:tcPr>
          <w:p>
            <w:r>
              <w:rPr>
                <w:rFonts w:ascii="Calibri" w:hAnsi="Calibri"/>
                <w:sz w:val="22"/>
              </w:rPr>
              <w:t>96.34%</w:t>
            </w:r>
          </w:p>
        </w:tc>
        <w:tc>
          <w:tcPr>
            <w:tcW w:type="dxa" w:w="1440"/>
          </w:tcPr>
          <w:p>
            <w:r>
              <w:rPr>
                <w:rFonts w:ascii="Calibri" w:hAnsi="Calibri"/>
                <w:b/>
                <w:color w:val="30A46C"/>
                <w:sz w:val="22"/>
              </w:rPr>
              <w:t>+329 bps better</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EG's beat/miss history is highly binary — clean quarters (low cat, no reserve charges) produce large EPS beats, while cat-heavy or reserve-charge quarters produce significant misses; the combined ratio shows a similar pattern, with Q2 2025 and Q3 2024 being the two cleanest recent beats.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numerical guidance has been revised since the Q1 2026 earnings call; the key post-earnings development is the raised share repurchase floor ($200M → $300M/quarter) and management's explicit warning that Baltimore Bridge incremental reserves could flow through Q2 or Q3.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Legacy Segment Combined Ratio (FY2026)</w:t>
            </w:r>
          </w:p>
        </w:tc>
        <w:tc>
          <w:tcPr>
            <w:tcW w:type="dxa" w:w="1728"/>
          </w:tcPr>
          <w:p>
            <w:r>
              <w:rPr>
                <w:rFonts w:ascii="Calibri" w:hAnsi="Calibri"/>
                <w:sz w:val="22"/>
              </w:rPr>
              <w:t>&gt;110% combined ratio for FY2026</w:t>
            </w:r>
          </w:p>
        </w:tc>
        <w:tc>
          <w:tcPr>
            <w:tcW w:type="dxa" w:w="1728"/>
          </w:tcPr>
          <w:p>
            <w:r>
              <w:rPr>
                <w:rFonts w:ascii="Calibri" w:hAnsi="Calibri"/>
                <w:sz w:val="22"/>
              </w:rPr>
              <w:t>—</w:t>
            </w:r>
          </w:p>
        </w:tc>
        <w:tc>
          <w:tcPr>
            <w:tcW w:type="dxa" w:w="1728"/>
          </w:tcPr>
          <w:p>
            <w:r>
              <w:rPr>
                <w:rFonts w:ascii="Calibri" w:hAnsi="Calibri"/>
                <w:sz w:val="22"/>
              </w:rPr>
              <w:t>~110%+ (consistent with guidance)</w:t>
            </w:r>
          </w:p>
        </w:tc>
        <w:tc>
          <w:tcPr>
            <w:tcW w:type="dxa" w:w="1728"/>
          </w:tcPr>
          <w:p>
            <w:r>
              <w:rPr>
                <w:rFonts w:ascii="Calibri" w:hAnsi="Calibri"/>
                <w:sz w:val="22"/>
              </w:rPr>
              <w:t>Unchanged; driven by AIG retail transition costs</w:t>
            </w:r>
          </w:p>
        </w:tc>
      </w:tr>
      <w:tr>
        <w:tc>
          <w:tcPr>
            <w:tcW w:type="dxa" w:w="1728"/>
          </w:tcPr>
          <w:p>
            <w:r>
              <w:rPr>
                <w:rFonts w:ascii="Calibri" w:hAnsi="Calibri"/>
                <w:sz w:val="22"/>
              </w:rPr>
              <w:t>Restructuring Charges (FY2026)</w:t>
            </w:r>
          </w:p>
        </w:tc>
        <w:tc>
          <w:tcPr>
            <w:tcW w:type="dxa" w:w="1728"/>
          </w:tcPr>
          <w:p>
            <w:r>
              <w:rPr>
                <w:rFonts w:ascii="Calibri" w:hAnsi="Calibri"/>
                <w:sz w:val="22"/>
              </w:rPr>
              <w:t>~$150M total for FY2026 (in other income/expense, not combined ratio)</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Q4 elevated real estate costs expected, offset by subleasing</w:t>
            </w:r>
          </w:p>
        </w:tc>
      </w:tr>
      <w:tr>
        <w:tc>
          <w:tcPr>
            <w:tcW w:type="dxa" w:w="1728"/>
          </w:tcPr>
          <w:p>
            <w:r>
              <w:rPr>
                <w:rFonts w:ascii="Calibri" w:hAnsi="Calibri"/>
                <w:sz w:val="22"/>
              </w:rPr>
              <w:t>Share Repurchase Floor (Quarterly)</w:t>
            </w:r>
          </w:p>
        </w:tc>
        <w:tc>
          <w:tcPr>
            <w:tcW w:type="dxa" w:w="1728"/>
          </w:tcPr>
          <w:p>
            <w:r>
              <w:rPr>
                <w:rFonts w:ascii="Calibri" w:hAnsi="Calibri"/>
                <w:sz w:val="22"/>
              </w:rPr>
              <w:t>Raised to $300M/quarter (from $200M), effective Q2 2026</w:t>
            </w:r>
          </w:p>
        </w:tc>
        <w:tc>
          <w:tcPr>
            <w:tcW w:type="dxa" w:w="1728"/>
          </w:tcPr>
          <w:p>
            <w:r>
              <w:rPr>
                <w:rFonts w:ascii="Calibri" w:hAnsi="Calibri"/>
                <w:sz w:val="22"/>
              </w:rPr>
              <w:t>—</w:t>
            </w:r>
          </w:p>
        </w:tc>
        <w:tc>
          <w:tcPr>
            <w:tcW w:type="dxa" w:w="1728"/>
          </w:tcPr>
          <w:p>
            <w:r>
              <w:rPr>
                <w:rFonts w:ascii="Calibri" w:hAnsi="Calibri"/>
                <w:sz w:val="22"/>
              </w:rPr>
              <w:t>N/A — not a consensus KPI</w:t>
            </w:r>
          </w:p>
        </w:tc>
        <w:tc>
          <w:tcPr>
            <w:tcW w:type="dxa" w:w="1728"/>
          </w:tcPr>
          <w:p>
            <w:r>
              <w:rPr>
                <w:rFonts w:ascii="Calibri" w:hAnsi="Calibri"/>
                <w:sz w:val="22"/>
              </w:rPr>
              <w:t>↑ Raised at Q1 2026 earnings call; signals strong capital generation confidence</w:t>
            </w:r>
          </w:p>
        </w:tc>
      </w:tr>
      <w:tr>
        <w:tc>
          <w:tcPr>
            <w:tcW w:type="dxa" w:w="1728"/>
          </w:tcPr>
          <w:p>
            <w:r>
              <w:rPr>
                <w:rFonts w:ascii="Calibri" w:hAnsi="Calibri"/>
                <w:sz w:val="22"/>
              </w:rPr>
              <w:t>Capital Release from Retail Exit</w:t>
            </w:r>
          </w:p>
        </w:tc>
        <w:tc>
          <w:tcPr>
            <w:tcW w:type="dxa" w:w="1728"/>
          </w:tcPr>
          <w:p>
            <w:r>
              <w:rPr>
                <w:rFonts w:ascii="Calibri" w:hAnsi="Calibri"/>
                <w:sz w:val="22"/>
              </w:rPr>
              <w:t>Meaningful capital release expected to become visible in H2 2026</w:t>
            </w:r>
          </w:p>
        </w:tc>
        <w:tc>
          <w:tcPr>
            <w:tcW w:type="dxa" w:w="1728"/>
          </w:tcPr>
          <w:p>
            <w:r>
              <w:rPr>
                <w:rFonts w:ascii="Calibri" w:hAnsi="Calibri"/>
                <w:sz w:val="22"/>
              </w:rPr>
              <w:t>—</w:t>
            </w:r>
          </w:p>
        </w:tc>
        <w:tc>
          <w:tcPr>
            <w:tcW w:type="dxa" w:w="1728"/>
          </w:tcPr>
          <w:p>
            <w:r>
              <w:rPr>
                <w:rFonts w:ascii="Calibri" w:hAnsi="Calibri"/>
                <w:sz w:val="22"/>
              </w:rPr>
              <w:t>N/A — not a consensus KPI</w:t>
            </w:r>
          </w:p>
        </w:tc>
        <w:tc>
          <w:tcPr>
            <w:tcW w:type="dxa" w:w="1728"/>
          </w:tcPr>
          <w:p>
            <w:r>
              <w:rPr>
                <w:rFonts w:ascii="Calibri" w:hAnsi="Calibri"/>
                <w:sz w:val="22"/>
              </w:rPr>
              <w:t>Unchanged; Canadian retail sale also expected to close within ~6 months</w:t>
            </w:r>
          </w:p>
        </w:tc>
      </w:tr>
      <w:tr>
        <w:tc>
          <w:tcPr>
            <w:tcW w:type="dxa" w:w="1728"/>
          </w:tcPr>
          <w:p>
            <w:r>
              <w:rPr>
                <w:rFonts w:ascii="Calibri" w:hAnsi="Calibri"/>
                <w:sz w:val="22"/>
              </w:rPr>
              <w:t>Baltimore Bridge Reserve (Incremental)</w:t>
            </w:r>
          </w:p>
        </w:tc>
        <w:tc>
          <w:tcPr>
            <w:tcW w:type="dxa" w:w="1728"/>
          </w:tcPr>
          <w:p>
            <w:r>
              <w:rPr>
                <w:rFonts w:ascii="Calibri" w:hAnsi="Calibri"/>
                <w:sz w:val="22"/>
              </w:rPr>
              <w:t>"A few tens of millions" of incremental reserve possible in Q2 or Q3 (initial reserve: $70M)</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peer RNR confirmed industry loss estimate grew materially — key Q2 wildcard</w:t>
            </w:r>
          </w:p>
        </w:tc>
      </w:tr>
      <w:tr>
        <w:tc>
          <w:tcPr>
            <w:tcW w:type="dxa" w:w="1728"/>
          </w:tcPr>
          <w:p>
            <w:r>
              <w:rPr>
                <w:rFonts w:ascii="Calibri" w:hAnsi="Calibri"/>
                <w:sz w:val="22"/>
              </w:rPr>
              <w:t>Property Cat Pricing (6/1 Florida)</w:t>
            </w:r>
          </w:p>
        </w:tc>
        <w:tc>
          <w:tcPr>
            <w:tcW w:type="dxa" w:w="1728"/>
          </w:tcPr>
          <w:p>
            <w:r>
              <w:rPr>
                <w:rFonts w:ascii="Calibri" w:hAnsi="Calibri"/>
                <w:sz w:val="22"/>
              </w:rPr>
              <w:t>Rates expected down mid-teens at 6/1; terms &amp; conditions expected to hold; EG "reasonably optimistic" on capacity deployment</w:t>
            </w:r>
          </w:p>
        </w:tc>
        <w:tc>
          <w:tcPr>
            <w:tcW w:type="dxa" w:w="1728"/>
          </w:tcPr>
          <w:p>
            <w:r>
              <w:rPr>
                <w:rFonts w:ascii="Calibri" w:hAnsi="Calibri"/>
                <w:sz w:val="22"/>
              </w:rPr>
              <w:t>—</w:t>
            </w:r>
          </w:p>
        </w:tc>
        <w:tc>
          <w:tcPr>
            <w:tcW w:type="dxa" w:w="1728"/>
          </w:tcPr>
          <w:p>
            <w:r>
              <w:rPr>
                <w:rFonts w:ascii="Calibri" w:hAnsi="Calibri"/>
                <w:sz w:val="22"/>
              </w:rPr>
              <w:t>N/A — directional only</w:t>
            </w:r>
          </w:p>
        </w:tc>
        <w:tc>
          <w:tcPr>
            <w:tcW w:type="dxa" w:w="1728"/>
          </w:tcPr>
          <w:p>
            <w:r>
              <w:rPr>
                <w:rFonts w:ascii="Calibri" w:hAnsi="Calibri"/>
                <w:sz w:val="22"/>
              </w:rPr>
              <w:t>Confirmed by peers (RNR: rates down high-teens at mid-year; terms held)</w:t>
            </w:r>
          </w:p>
        </w:tc>
      </w:tr>
      <w:tr>
        <w:tc>
          <w:tcPr>
            <w:tcW w:type="dxa" w:w="1728"/>
          </w:tcPr>
          <w:p>
            <w:r>
              <w:rPr>
                <w:rFonts w:ascii="Calibri" w:hAnsi="Calibri"/>
                <w:sz w:val="22"/>
              </w:rPr>
              <w:t>Net Investment Income (FY2026)</w:t>
            </w:r>
          </w:p>
        </w:tc>
        <w:tc>
          <w:tcPr>
            <w:tcW w:type="dxa" w:w="1728"/>
          </w:tcPr>
          <w:p>
            <w:r>
              <w:rPr>
                <w:rFonts w:ascii="Calibri" w:hAnsi="Calibri"/>
                <w:sz w:val="22"/>
              </w:rPr>
              <w:t>Book yield stable at 4.5%; alt. returns expected to normalize from Q1 peak; ~$60M annual NII headwind from ADC</w:t>
            </w:r>
          </w:p>
        </w:tc>
        <w:tc>
          <w:tcPr>
            <w:tcW w:type="dxa" w:w="1728"/>
          </w:tcPr>
          <w:p>
            <w:r>
              <w:rPr>
                <w:rFonts w:ascii="Calibri" w:hAnsi="Calibri"/>
                <w:sz w:val="22"/>
              </w:rPr>
              <w:t>—</w:t>
            </w:r>
          </w:p>
        </w:tc>
        <w:tc>
          <w:tcPr>
            <w:tcW w:type="dxa" w:w="1728"/>
          </w:tcPr>
          <w:p>
            <w:r>
              <w:rPr>
                <w:rFonts w:ascii="Calibri" w:hAnsi="Calibri"/>
                <w:sz w:val="22"/>
              </w:rPr>
              <w:t>$2.107B FY2026 consensus</w:t>
            </w:r>
          </w:p>
        </w:tc>
        <w:tc>
          <w:tcPr>
            <w:tcW w:type="dxa" w:w="1728"/>
          </w:tcPr>
          <w:p>
            <w:r>
              <w:rPr>
                <w:rFonts w:ascii="Calibri" w:hAnsi="Calibri"/>
                <w:sz w:val="22"/>
              </w:rPr>
              <w:t>Unchanged; consensus implies ~$496M in Q2 vs. $567M in Q1 (normalization assumed)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FY2026 EPS estimates have drifted modestly lower since the Q1 print (from $53.21 to $51.50), while Q2 EPS consensus has been essentially flat — suggesting the street absorbed the Q1 beat without raising the bar, a mild positive. The combined ratio estimate has tightened toward management's low-90s target, indicating alignment rather than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Operating EPS — Q2 2026</w:t>
            </w:r>
          </w:p>
        </w:tc>
        <w:tc>
          <w:tcPr>
            <w:tcW w:type="dxa" w:w="1080"/>
          </w:tcPr>
          <w:p>
            <w:r>
              <w:rPr>
                <w:rFonts w:ascii="Calibri" w:hAnsi="Calibri"/>
                <w:sz w:val="22"/>
              </w:rPr>
              <w:t>$14.63</w:t>
            </w:r>
          </w:p>
        </w:tc>
        <w:tc>
          <w:tcPr>
            <w:tcW w:type="dxa" w:w="1080"/>
          </w:tcPr>
          <w:p>
            <w:r>
              <w:rPr>
                <w:rFonts w:ascii="Calibri" w:hAnsi="Calibri"/>
                <w:sz w:val="22"/>
              </w:rPr>
              <w:t>$14.74</w:t>
            </w:r>
          </w:p>
        </w:tc>
        <w:tc>
          <w:tcPr>
            <w:tcW w:type="dxa" w:w="1080"/>
          </w:tcPr>
          <w:p>
            <w:r>
              <w:rPr>
                <w:rFonts w:ascii="Calibri" w:hAnsi="Calibri"/>
                <w:sz w:val="22"/>
              </w:rPr>
              <w:t>+0.8%</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$53.21</w:t>
            </w:r>
          </w:p>
        </w:tc>
        <w:tc>
          <w:tcPr>
            <w:tcW w:type="dxa" w:w="1080"/>
          </w:tcPr>
          <w:p>
            <w:r>
              <w:rPr>
                <w:rFonts w:ascii="Calibri" w:hAnsi="Calibri"/>
                <w:sz w:val="22"/>
              </w:rPr>
              <w:t>$51.50</w:t>
            </w:r>
          </w:p>
        </w:tc>
        <w:tc>
          <w:tcPr>
            <w:tcW w:type="dxa" w:w="1080"/>
          </w:tcPr>
          <w:p>
            <w:r>
              <w:rPr>
                <w:rFonts w:ascii="Calibri" w:hAnsi="Calibri"/>
                <w:b/>
                <w:color w:val="E5484D"/>
                <w:sz w:val="22"/>
              </w:rPr>
              <w:t>-3.2%</w:t>
            </w:r>
          </w:p>
        </w:tc>
        <w:tc>
          <w:tcPr>
            <w:tcW w:type="dxa" w:w="1080"/>
          </w:tcPr>
          <w:p>
            <w:r>
              <w:rPr>
                <w:rFonts w:ascii="Calibri" w:hAnsi="Calibri"/>
                <w:sz w:val="22"/>
              </w:rPr>
              <w:t>No explicit FY EPS guidance</w:t>
            </w:r>
          </w:p>
        </w:tc>
        <w:tc>
          <w:tcPr>
            <w:tcW w:type="dxa" w:w="1080"/>
          </w:tcPr>
          <w:p>
            <w:r>
              <w:rPr>
                <w:rFonts w:ascii="Calibri" w:hAnsi="Calibri"/>
                <w:sz w:val="22"/>
              </w:rPr>
              <w:t>No explicit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Premium Written — Q2 2026</w:t>
            </w:r>
          </w:p>
        </w:tc>
        <w:tc>
          <w:tcPr>
            <w:tcW w:type="dxa" w:w="1080"/>
          </w:tcPr>
          <w:p>
            <w:r>
              <w:rPr>
                <w:rFonts w:ascii="Calibri" w:hAnsi="Calibri"/>
                <w:sz w:val="22"/>
              </w:rPr>
              <w:t>$3.90B</w:t>
            </w:r>
          </w:p>
        </w:tc>
        <w:tc>
          <w:tcPr>
            <w:tcW w:type="dxa" w:w="1080"/>
          </w:tcPr>
          <w:p>
            <w:r>
              <w:rPr>
                <w:rFonts w:ascii="Calibri" w:hAnsi="Calibri"/>
                <w:sz w:val="22"/>
              </w:rPr>
              <w:t>$3.82B</w:t>
            </w:r>
          </w:p>
        </w:tc>
        <w:tc>
          <w:tcPr>
            <w:tcW w:type="dxa" w:w="1080"/>
          </w:tcPr>
          <w:p>
            <w:r>
              <w:rPr>
                <w:rFonts w:ascii="Calibri" w:hAnsi="Calibri"/>
                <w:b/>
                <w:color w:val="E5484D"/>
                <w:sz w:val="22"/>
              </w:rPr>
              <w:t>-2.1%</w:t>
            </w:r>
          </w:p>
        </w:tc>
        <w:tc>
          <w:tcPr>
            <w:tcW w:type="dxa" w:w="1080"/>
          </w:tcPr>
          <w:p>
            <w:r>
              <w:rPr>
                <w:rFonts w:ascii="Calibri" w:hAnsi="Calibri"/>
                <w:sz w:val="22"/>
              </w:rPr>
              <w:t>Decline expected (retail exit &amp; casualty runoff)</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Consistent with directional guidance</w:t>
            </w:r>
          </w:p>
        </w:tc>
      </w:tr>
      <w:tr>
        <w:tc>
          <w:tcPr>
            <w:tcW w:type="dxa" w:w="1080"/>
          </w:tcPr>
          <w:p>
            <w:r>
              <w:rPr>
                <w:rFonts w:ascii="Calibri" w:hAnsi="Calibri"/>
                <w:sz w:val="22"/>
              </w:rPr>
              <w:t>Gross Premium Written — FY2026</w:t>
            </w:r>
          </w:p>
        </w:tc>
        <w:tc>
          <w:tcPr>
            <w:tcW w:type="dxa" w:w="1080"/>
          </w:tcPr>
          <w:p>
            <w:r>
              <w:rPr>
                <w:rFonts w:ascii="Calibri" w:hAnsi="Calibri"/>
                <w:sz w:val="22"/>
              </w:rPr>
              <w:t>$15.05B</w:t>
            </w:r>
          </w:p>
        </w:tc>
        <w:tc>
          <w:tcPr>
            <w:tcW w:type="dxa" w:w="1080"/>
          </w:tcPr>
          <w:p>
            <w:r>
              <w:rPr>
                <w:rFonts w:ascii="Calibri" w:hAnsi="Calibri"/>
                <w:sz w:val="22"/>
              </w:rPr>
              <w:t>$14.86B</w:t>
            </w:r>
          </w:p>
        </w:tc>
        <w:tc>
          <w:tcPr>
            <w:tcW w:type="dxa" w:w="1080"/>
          </w:tcPr>
          <w:p>
            <w:r>
              <w:rPr>
                <w:rFonts w:ascii="Calibri" w:hAnsi="Calibri"/>
                <w:sz w:val="22"/>
              </w:rPr>
              <w:t>-1.3%</w:t>
            </w:r>
          </w:p>
        </w:tc>
        <w:tc>
          <w:tcPr>
            <w:tcW w:type="dxa" w:w="1080"/>
          </w:tcPr>
          <w:p>
            <w:r>
              <w:rPr>
                <w:rFonts w:ascii="Calibri" w:hAnsi="Calibri"/>
                <w:sz w:val="22"/>
              </w:rPr>
              <w:t>Decline expected (retail exit &amp; casualty runoff)</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Consistent with directional guidance</w:t>
            </w:r>
          </w:p>
        </w:tc>
      </w:tr>
      <w:tr>
        <w:tc>
          <w:tcPr>
            <w:tcW w:type="dxa" w:w="1080"/>
          </w:tcPr>
          <w:p>
            <w:r>
              <w:rPr>
                <w:rFonts w:ascii="Calibri" w:hAnsi="Calibri"/>
                <w:sz w:val="22"/>
              </w:rPr>
              <w:t>Combined Ratio — Q2 2026</w:t>
            </w:r>
          </w:p>
        </w:tc>
        <w:tc>
          <w:tcPr>
            <w:tcW w:type="dxa" w:w="1080"/>
          </w:tcPr>
          <w:p>
            <w:r>
              <w:rPr>
                <w:rFonts w:ascii="Calibri" w:hAnsi="Calibri"/>
                <w:sz w:val="22"/>
              </w:rPr>
              <w:t>92.33%</w:t>
            </w:r>
          </w:p>
        </w:tc>
        <w:tc>
          <w:tcPr>
            <w:tcW w:type="dxa" w:w="1080"/>
          </w:tcPr>
          <w:p>
            <w:r>
              <w:rPr>
                <w:rFonts w:ascii="Calibri" w:hAnsi="Calibri"/>
                <w:sz w:val="22"/>
              </w:rPr>
              <w:t>91.98%</w:t>
            </w:r>
          </w:p>
        </w:tc>
        <w:tc>
          <w:tcPr>
            <w:tcW w:type="dxa" w:w="1080"/>
          </w:tcPr>
          <w:p>
            <w:r>
              <w:rPr>
                <w:rFonts w:ascii="Calibri" w:hAnsi="Calibri"/>
                <w:b/>
                <w:color w:val="30A46C"/>
                <w:sz w:val="22"/>
              </w:rPr>
              <w:t>+35 bps better</w:t>
            </w:r>
          </w:p>
        </w:tc>
        <w:tc>
          <w:tcPr>
            <w:tcW w:type="dxa" w:w="1080"/>
          </w:tcPr>
          <w:p>
            <w:r>
              <w:rPr>
                <w:rFonts w:ascii="Calibri" w:hAnsi="Calibri"/>
                <w:sz w:val="22"/>
              </w:rPr>
              <w:t>Low-90s for go-forward platform</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~In line with target</w:t>
            </w:r>
          </w:p>
        </w:tc>
      </w:tr>
      <w:tr>
        <w:tc>
          <w:tcPr>
            <w:tcW w:type="dxa" w:w="1080"/>
          </w:tcPr>
          <w:p>
            <w:r>
              <w:rPr>
                <w:rFonts w:ascii="Calibri" w:hAnsi="Calibri"/>
                <w:sz w:val="22"/>
              </w:rPr>
              <w:t>Combined Ratio — FY2026</w:t>
            </w:r>
          </w:p>
        </w:tc>
        <w:tc>
          <w:tcPr>
            <w:tcW w:type="dxa" w:w="1080"/>
          </w:tcPr>
          <w:p>
            <w:r>
              <w:rPr>
                <w:rFonts w:ascii="Calibri" w:hAnsi="Calibri"/>
                <w:sz w:val="22"/>
              </w:rPr>
              <w:t>94.66%</w:t>
            </w:r>
          </w:p>
        </w:tc>
        <w:tc>
          <w:tcPr>
            <w:tcW w:type="dxa" w:w="1080"/>
          </w:tcPr>
          <w:p>
            <w:r>
              <w:rPr>
                <w:rFonts w:ascii="Calibri" w:hAnsi="Calibri"/>
                <w:sz w:val="22"/>
              </w:rPr>
              <w:t>94.82%</w:t>
            </w:r>
          </w:p>
        </w:tc>
        <w:tc>
          <w:tcPr>
            <w:tcW w:type="dxa" w:w="1080"/>
          </w:tcPr>
          <w:p>
            <w:r>
              <w:rPr>
                <w:rFonts w:ascii="Calibri" w:hAnsi="Calibri"/>
                <w:sz w:val="22"/>
              </w:rPr>
              <w:t>-16 bps</w:t>
            </w:r>
          </w:p>
        </w:tc>
        <w:tc>
          <w:tcPr>
            <w:tcW w:type="dxa" w:w="1080"/>
          </w:tcPr>
          <w:p>
            <w:r>
              <w:rPr>
                <w:rFonts w:ascii="Calibri" w:hAnsi="Calibri"/>
                <w:sz w:val="22"/>
              </w:rPr>
              <w:t>Low-90s for go-forward; Legacy &gt;110%</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Consistent with blended guidance</w:t>
            </w:r>
          </w:p>
        </w:tc>
      </w:tr>
    </w:tbl>
    <w:p>
      <w:r>
        <w:rPr>
          <w:rFonts w:ascii="Calibri" w:hAnsi="Calibri"/>
          <w:color w:val="525866"/>
          <w:sz w:val="22"/>
        </w:rPr>
        <w:t>The modest -3.2% drift lower in FY2026 EPS since the Q1 print reflects the market's assumption that Q1's outsized alternative investment returns ($156M vs. a normalized ~$60-70M quarterly run-rate) will not repeat, partially offset by the raised buyback floor. Estimates are broadly tracking guidance rather than diverging, which is a neutral-to-positive setup. Source: Visible Alpha Consensus and Actuals Data; EG Q1 2026 Earnings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EG's +15.9% gain since the Q1 earnings date has been driven almost entirely by </w:t>
      </w:r>
      <w:r>
        <w:rPr>
          <w:rFonts w:ascii="Calibri" w:hAnsi="Calibri"/>
          <w:b/>
          <w:color w:val="525866"/>
          <w:sz w:val="22"/>
        </w:rPr>
        <w:t>multiple expansion</w:t>
      </w:r>
      <w:r>
        <w:rPr>
          <w:rFonts w:ascii="Calibri" w:hAnsi="Calibri"/>
          <w:color w:val="525866"/>
          <w:sz w:val="22"/>
        </w:rPr>
        <w:t xml:space="preserve"> (P/E NTM expanded from ~6.1x to ~6.9x, P/B from ~0.78x to ~0.87x) rather than estimate upgrades — a dynamic that makes the stock more vulnerable to a Q2 miss or any negative reserve surprise.</w:t>
      </w:r>
    </w:p>
    <w:p>
      <w:r>
        <w:rPr>
          <w:rFonts w:ascii="Calibri" w:hAnsi="Calibri"/>
          <w:color w:val="525866"/>
          <w:sz w:val="22"/>
        </w:rPr>
        <w:t>Since the April 29, 2026 earnings date, EG has risen from $344.01 to $398.70 (+15.9%), outperforming the S&amp;P 500 (+4.1%, from 711.58 to 740.86) but roughly in line with the KIE insurance ETF (+16.1%, from 57.22 to 66.45). The stock's outperformance vs. the S&amp;P 500 reflects sector-wide re-rating of insurance names, with EG benefiting additionally from the Q1 beat and raised buyback floor. However, the stock sold off sharply in late May (from ~$358 to ~$318 by June 3) before recovering strongly through July, suggesting the market remains sensitive to cat season concerns and property pricing headlines. The stock's current NTM P/E of ~6.9x and P/B of ~0.87x represent meaningful expansion from the post-Q1 levels, leaving less margin for error heading into the print. Source: Stock Price Data (Yahoo Finance).</w:t>
      </w:r>
    </w:p>
    <w:p>
      <w:r>
        <w:rPr>
          <w:i/>
        </w:rPr>
        <w:t>[Image not found: gs://lum-production-user-data-store/conversations/conv_01k1bqhqhqhqhqhqhqhqhqhq/plotly_charts/eg_stock_performance.json]</w:t>
      </w:r>
    </w:p>
    <w:p>
      <w:pPr>
        <w:jc w:val="center"/>
      </w:pPr>
      <w:r>
        <w:rPr>
          <w:i/>
          <w:color w:val="666666"/>
          <w:sz w:val="18"/>
        </w:rPr>
        <w:t>EG vs. KIE vs. S&amp;P 500 — Indexed to 100 at April 29, 2026 (Q1 2026 Earnings Date). Source: Yahoo Finance.</w:t>
      </w:r>
    </w:p>
    <w:p>
      <w:pPr>
        <w:pStyle w:val="Heading3"/>
      </w:pPr>
      <w:r>
        <w:rPr>
          <w:rFonts w:ascii="Calibri" w:hAnsi="Calibri"/>
          <w:b/>
          <w:color w:val="3B4259"/>
          <w:sz w:val="24"/>
        </w:rPr>
        <w:t>Indexed Price Performance Since Q1 2026 Earnings (Base = 100 at Apr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EG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103.7</w:t>
            </w:r>
          </w:p>
        </w:tc>
        <w:tc>
          <w:tcPr>
            <w:tcW w:type="dxa" w:w="2160"/>
          </w:tcPr>
          <w:p>
            <w:r>
              <w:rPr>
                <w:rFonts w:ascii="Calibri" w:hAnsi="Calibri"/>
                <w:sz w:val="22"/>
              </w:rPr>
              <w:t>100.2</w:t>
            </w:r>
          </w:p>
        </w:tc>
        <w:tc>
          <w:tcPr>
            <w:tcW w:type="dxa" w:w="2160"/>
          </w:tcPr>
          <w:p>
            <w:r>
              <w:rPr>
                <w:rFonts w:ascii="Calibri" w:hAnsi="Calibri"/>
                <w:sz w:val="22"/>
              </w:rPr>
              <w:t>101.0</w:t>
            </w:r>
          </w:p>
        </w:tc>
      </w:tr>
      <w:tr>
        <w:tc>
          <w:tcPr>
            <w:tcW w:type="dxa" w:w="2160"/>
          </w:tcPr>
          <w:p>
            <w:r>
              <w:rPr>
                <w:rFonts w:ascii="Calibri" w:hAnsi="Calibri"/>
                <w:sz w:val="22"/>
              </w:rPr>
              <w:t>May 15, 2026</w:t>
            </w:r>
          </w:p>
        </w:tc>
        <w:tc>
          <w:tcPr>
            <w:tcW w:type="dxa" w:w="2160"/>
          </w:tcPr>
          <w:p>
            <w:r>
              <w:rPr>
                <w:rFonts w:ascii="Calibri" w:hAnsi="Calibri"/>
                <w:sz w:val="22"/>
              </w:rPr>
              <w:t>102.2</w:t>
            </w:r>
          </w:p>
        </w:tc>
        <w:tc>
          <w:tcPr>
            <w:tcW w:type="dxa" w:w="2160"/>
          </w:tcPr>
          <w:p>
            <w:r>
              <w:rPr>
                <w:rFonts w:ascii="Calibri" w:hAnsi="Calibri"/>
                <w:sz w:val="22"/>
              </w:rPr>
              <w:t>98.8</w:t>
            </w:r>
          </w:p>
        </w:tc>
        <w:tc>
          <w:tcPr>
            <w:tcW w:type="dxa" w:w="2160"/>
          </w:tcPr>
          <w:p>
            <w:r>
              <w:rPr>
                <w:rFonts w:ascii="Calibri" w:hAnsi="Calibri"/>
                <w:sz w:val="22"/>
              </w:rPr>
              <w:t>103.9</w:t>
            </w:r>
          </w:p>
        </w:tc>
      </w:tr>
      <w:tr>
        <w:tc>
          <w:tcPr>
            <w:tcW w:type="dxa" w:w="2160"/>
          </w:tcPr>
          <w:p>
            <w:r>
              <w:rPr>
                <w:rFonts w:ascii="Calibri" w:hAnsi="Calibri"/>
                <w:sz w:val="22"/>
              </w:rPr>
              <w:t>May 29, 2026 (trough — cat season concerns)</w:t>
            </w:r>
          </w:p>
        </w:tc>
        <w:tc>
          <w:tcPr>
            <w:tcW w:type="dxa" w:w="2160"/>
          </w:tcPr>
          <w:p>
            <w:r>
              <w:rPr>
                <w:rFonts w:ascii="Calibri" w:hAnsi="Calibri"/>
                <w:sz w:val="22"/>
              </w:rPr>
              <w:t>94.2</w:t>
            </w:r>
          </w:p>
        </w:tc>
        <w:tc>
          <w:tcPr>
            <w:tcW w:type="dxa" w:w="2160"/>
          </w:tcPr>
          <w:p>
            <w:r>
              <w:rPr>
                <w:rFonts w:ascii="Calibri" w:hAnsi="Calibri"/>
                <w:sz w:val="22"/>
              </w:rPr>
              <w:t>96.4</w:t>
            </w:r>
          </w:p>
        </w:tc>
        <w:tc>
          <w:tcPr>
            <w:tcW w:type="dxa" w:w="2160"/>
          </w:tcPr>
          <w:p>
            <w:r>
              <w:rPr>
                <w:rFonts w:ascii="Calibri" w:hAnsi="Calibri"/>
                <w:sz w:val="22"/>
              </w:rPr>
              <w:t>106.3</w:t>
            </w:r>
          </w:p>
        </w:tc>
      </w:tr>
      <w:tr>
        <w:tc>
          <w:tcPr>
            <w:tcW w:type="dxa" w:w="2160"/>
          </w:tcPr>
          <w:p>
            <w:r>
              <w:rPr>
                <w:rFonts w:ascii="Calibri" w:hAnsi="Calibri"/>
                <w:sz w:val="22"/>
              </w:rPr>
              <w:t>Jun 5, 2026</w:t>
            </w:r>
          </w:p>
        </w:tc>
        <w:tc>
          <w:tcPr>
            <w:tcW w:type="dxa" w:w="2160"/>
          </w:tcPr>
          <w:p>
            <w:r>
              <w:rPr>
                <w:rFonts w:ascii="Calibri" w:hAnsi="Calibri"/>
                <w:sz w:val="22"/>
              </w:rPr>
              <w:t>97.2</w:t>
            </w:r>
          </w:p>
        </w:tc>
        <w:tc>
          <w:tcPr>
            <w:tcW w:type="dxa" w:w="2160"/>
          </w:tcPr>
          <w:p>
            <w:r>
              <w:rPr>
                <w:rFonts w:ascii="Calibri" w:hAnsi="Calibri"/>
                <w:sz w:val="22"/>
              </w:rPr>
              <w:t>99.4</w:t>
            </w:r>
          </w:p>
        </w:tc>
        <w:tc>
          <w:tcPr>
            <w:tcW w:type="dxa" w:w="2160"/>
          </w:tcPr>
          <w:p>
            <w:r>
              <w:rPr>
                <w:rFonts w:ascii="Calibri" w:hAnsi="Calibri"/>
                <w:sz w:val="22"/>
              </w:rPr>
              <w:t>103.7</w:t>
            </w:r>
          </w:p>
        </w:tc>
      </w:tr>
      <w:tr>
        <w:tc>
          <w:tcPr>
            <w:tcW w:type="dxa" w:w="2160"/>
          </w:tcPr>
          <w:p>
            <w:r>
              <w:rPr>
                <w:rFonts w:ascii="Calibri" w:hAnsi="Calibri"/>
                <w:sz w:val="22"/>
              </w:rPr>
              <w:t>Jun 30, 2026</w:t>
            </w:r>
          </w:p>
        </w:tc>
        <w:tc>
          <w:tcPr>
            <w:tcW w:type="dxa" w:w="2160"/>
          </w:tcPr>
          <w:p>
            <w:r>
              <w:rPr>
                <w:rFonts w:ascii="Calibri" w:hAnsi="Calibri"/>
                <w:sz w:val="22"/>
              </w:rPr>
              <w:t>103.8</w:t>
            </w:r>
          </w:p>
        </w:tc>
        <w:tc>
          <w:tcPr>
            <w:tcW w:type="dxa" w:w="2160"/>
          </w:tcPr>
          <w:p>
            <w:r>
              <w:rPr>
                <w:rFonts w:ascii="Calibri" w:hAnsi="Calibri"/>
                <w:sz w:val="22"/>
              </w:rPr>
              <w:t>106.6</w:t>
            </w:r>
          </w:p>
        </w:tc>
        <w:tc>
          <w:tcPr>
            <w:tcW w:type="dxa" w:w="2160"/>
          </w:tcPr>
          <w:p>
            <w:r>
              <w:rPr>
                <w:rFonts w:ascii="Calibri" w:hAnsi="Calibri"/>
                <w:sz w:val="22"/>
              </w:rPr>
              <w:t>104.9</w:t>
            </w:r>
          </w:p>
        </w:tc>
      </w:tr>
      <w:tr>
        <w:tc>
          <w:tcPr>
            <w:tcW w:type="dxa" w:w="2160"/>
          </w:tcPr>
          <w:p>
            <w:r>
              <w:rPr>
                <w:rFonts w:ascii="Calibri" w:hAnsi="Calibri"/>
                <w:sz w:val="22"/>
              </w:rPr>
              <w:t>Jul 17, 2026</w:t>
            </w:r>
          </w:p>
        </w:tc>
        <w:tc>
          <w:tcPr>
            <w:tcW w:type="dxa" w:w="2160"/>
          </w:tcPr>
          <w:p>
            <w:r>
              <w:rPr>
                <w:rFonts w:ascii="Calibri" w:hAnsi="Calibri"/>
                <w:sz w:val="22"/>
              </w:rPr>
              <w:t>111.2</w:t>
            </w:r>
          </w:p>
        </w:tc>
        <w:tc>
          <w:tcPr>
            <w:tcW w:type="dxa" w:w="2160"/>
          </w:tcPr>
          <w:p>
            <w:r>
              <w:rPr>
                <w:rFonts w:ascii="Calibri" w:hAnsi="Calibri"/>
                <w:sz w:val="22"/>
              </w:rPr>
              <w:t>112.2</w:t>
            </w:r>
          </w:p>
        </w:tc>
        <w:tc>
          <w:tcPr>
            <w:tcW w:type="dxa" w:w="2160"/>
          </w:tcPr>
          <w:p>
            <w:r>
              <w:rPr>
                <w:rFonts w:ascii="Calibri" w:hAnsi="Calibri"/>
                <w:sz w:val="22"/>
              </w:rPr>
              <w:t>104.4</w:t>
            </w:r>
          </w:p>
        </w:tc>
      </w:tr>
      <w:tr>
        <w:tc>
          <w:tcPr>
            <w:tcW w:type="dxa" w:w="2160"/>
          </w:tcPr>
          <w:p>
            <w:r>
              <w:rPr>
                <w:rFonts w:ascii="Calibri" w:hAnsi="Calibri"/>
                <w:sz w:val="22"/>
              </w:rPr>
              <w:t>Jul 29, 2026 (latest)</w:t>
            </w:r>
          </w:p>
        </w:tc>
        <w:tc>
          <w:tcPr>
            <w:tcW w:type="dxa" w:w="2160"/>
          </w:tcPr>
          <w:p>
            <w:r>
              <w:rPr>
                <w:rFonts w:ascii="Calibri" w:hAnsi="Calibri"/>
                <w:sz w:val="22"/>
              </w:rPr>
              <w:t>115.9</w:t>
            </w:r>
          </w:p>
        </w:tc>
        <w:tc>
          <w:tcPr>
            <w:tcW w:type="dxa" w:w="2160"/>
          </w:tcPr>
          <w:p>
            <w:r>
              <w:rPr>
                <w:rFonts w:ascii="Calibri" w:hAnsi="Calibri"/>
                <w:sz w:val="22"/>
              </w:rPr>
              <w:t>116.1</w:t>
            </w:r>
          </w:p>
        </w:tc>
        <w:tc>
          <w:tcPr>
            <w:tcW w:type="dxa" w:w="2160"/>
          </w:tcPr>
          <w:p>
            <w:r>
              <w:rPr>
                <w:rFonts w:ascii="Calibri" w:hAnsi="Calibri"/>
                <w:sz w:val="22"/>
              </w:rPr>
              <w:t>104.1</w:t>
            </w:r>
          </w:p>
        </w:tc>
      </w:tr>
    </w:tbl>
    <w:p>
      <w:r>
        <w:rPr>
          <w:rFonts w:ascii="Calibri" w:hAnsi="Calibri"/>
          <w:b/>
          <w:color w:val="525866"/>
          <w:sz w:val="22"/>
        </w:rPr>
        <w:t xml:space="preserve">Note: </w:t>
      </w:r>
      <w:r>
        <w:rPr>
          <w:rFonts w:ascii="Calibri" w:hAnsi="Calibri"/>
          <w:color w:val="525866"/>
          <w:sz w:val="22"/>
        </w:rPr>
        <w:t>KIE (SPDR S&amp;P Insurance ETF) is used as the sector benchmark, appropriate for EG's P&amp;C insurance/reinsurance sub-sector. The sharp EG drawdown in late May (to ~$318, -7.6% from the post-earnings high) coincided with broader cat season anxiety and property pricing headlines, before recovering strongly through July as peers reported solid Q2 results.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8-K segment recast (June 3)</w:t>
      </w:r>
      <w:r>
        <w:rPr>
          <w:rFonts w:ascii="Calibri" w:hAnsi="Calibri"/>
          <w:color w:val="525866"/>
          <w:sz w:val="22"/>
        </w:rPr>
        <w:t xml:space="preserve"> formalizing the new three-segment structure, which sets the reporting baseline for Q2 and beyond; the Baltimore Bridge reserve uncertainty remains the single most consequential unresolved item heading into the print.</w:t>
      </w:r>
    </w:p>
    <w:p>
      <w:pPr>
        <w:pStyle w:val="ListBullet"/>
        <w:ind w:left="360" w:hanging="360"/>
      </w:pPr>
      <w:r>
        <w:rPr>
          <w:rFonts w:ascii="Calibri" w:hAnsi="Calibri"/>
          <w:b/>
          <w:color w:val="525866"/>
          <w:sz w:val="22"/>
        </w:rPr>
        <w:t xml:space="preserve">Apr 30, 2026 — Q1 2026 Earnings Call: </w:t>
      </w:r>
      <w:r>
        <w:rPr>
          <w:rFonts w:ascii="Calibri" w:hAnsi="Calibri"/>
          <w:color w:val="525866"/>
          <w:sz w:val="22"/>
        </w:rPr>
        <w:t>Management raised the quarterly share repurchase floor from $200M to $300M, effective Q2 2026, citing conviction that the stock does not reflect true earnings power. CFO Mark Kociancic retirement confirmed; Elias Habayeb (formerly Corebridge Financial) succeeded as CFO effective May 1, 2026. Baltimore Bridge incremental reserve flagged as a Q2/Q3 risk ("a few tens of millions"). Source: EG Q1 2026 Earnings Transcript.</w:t>
      </w:r>
    </w:p>
    <w:p>
      <w:pPr>
        <w:pStyle w:val="ListBullet"/>
        <w:ind w:left="360" w:hanging="360"/>
      </w:pPr>
      <w:r>
        <w:rPr>
          <w:rFonts w:ascii="Calibri" w:hAnsi="Calibri"/>
          <w:b/>
          <w:color w:val="525866"/>
          <w:sz w:val="22"/>
        </w:rPr>
        <w:t xml:space="preserve">May 1, 2026 — CFO Transition: </w:t>
      </w:r>
      <w:r>
        <w:rPr>
          <w:rFonts w:ascii="Calibri" w:hAnsi="Calibri"/>
          <w:color w:val="525866"/>
          <w:sz w:val="22"/>
        </w:rPr>
        <w:t>Elias Habayeb officially assumed the CFO role, replacing retiring Mark Kociancic. First earnings call as CFO will be Q2 2026 on July 30. Implication: Investor focus on continuity of capital allocation messaging and reserve philosophy. Source: EG Q1 2026 Earnings Transcript.</w:t>
      </w:r>
    </w:p>
    <w:p>
      <w:pPr>
        <w:pStyle w:val="ListBullet"/>
        <w:ind w:left="360" w:hanging="360"/>
      </w:pPr>
      <w:r>
        <w:rPr>
          <w:rFonts w:ascii="Calibri" w:hAnsi="Calibri"/>
          <w:b/>
          <w:color w:val="525866"/>
          <w:sz w:val="22"/>
        </w:rPr>
        <w:t xml:space="preserve">May 15, 2026 — 8-K (Shareholder Vote): </w:t>
      </w:r>
      <w:r>
        <w:rPr>
          <w:rFonts w:ascii="Calibri" w:hAnsi="Calibri"/>
          <w:color w:val="525866"/>
          <w:sz w:val="22"/>
        </w:rPr>
        <w:t>Everest Group shareholders approved an 812,000 share increase for the company's incentive plan. Implication: Modest dilution signal, but consistent with ongoing equity compensation practices. Source: EG 8-K filed May 15, 2026.</w:t>
      </w:r>
    </w:p>
    <w:p>
      <w:pPr>
        <w:pStyle w:val="ListBullet"/>
        <w:ind w:left="360" w:hanging="360"/>
      </w:pPr>
      <w:r>
        <w:rPr>
          <w:rFonts w:ascii="Calibri" w:hAnsi="Calibri"/>
          <w:b/>
          <w:color w:val="525866"/>
          <w:sz w:val="22"/>
        </w:rPr>
        <w:t xml:space="preserve">Jun 3, 2026 — 8-K Segment Recast: </w:t>
      </w:r>
      <w:r>
        <w:rPr>
          <w:rFonts w:ascii="Calibri" w:hAnsi="Calibri"/>
          <w:color w:val="525866"/>
          <w:sz w:val="22"/>
        </w:rPr>
        <w:t>Everest filed an 8-K recasting its 2025 10-K to retroactively reflect the new three-segment structure (Reinsurance Treaty, Global Wholesale &amp; Specialty, Legacy), effective January 1, 2026. This formalizes the reporting framework for Q2 2026 and beyond, enabling clean year-over-year comparisons. Implication: Q2 will be the first full quarter reported under the new structure with a clean prior-year comparable. Source: EG 8-K filed June 3, 2026.</w:t>
      </w:r>
    </w:p>
    <w:p>
      <w:pPr>
        <w:pStyle w:val="ListBullet"/>
        <w:ind w:left="360" w:hanging="360"/>
      </w:pPr>
      <w:r>
        <w:rPr>
          <w:rFonts w:ascii="Calibri" w:hAnsi="Calibri"/>
          <w:b/>
          <w:color w:val="525866"/>
          <w:sz w:val="22"/>
        </w:rPr>
        <w:t xml:space="preserve">Jun 30, 2026 — Q2 2026 Earnings Call Announcement: </w:t>
      </w:r>
      <w:r>
        <w:rPr>
          <w:rFonts w:ascii="Calibri" w:hAnsi="Calibri"/>
          <w:color w:val="525866"/>
          <w:sz w:val="22"/>
        </w:rPr>
        <w:t>Everest confirmed Q2 2026 earnings conference call for July 30, 2026. Source: EG Press Release, June 30, 2026.</w:t>
      </w:r>
    </w:p>
    <w:p>
      <w:pPr>
        <w:pStyle w:val="ListBullet"/>
        <w:ind w:left="360" w:hanging="360"/>
      </w:pPr>
      <w:r>
        <w:rPr>
          <w:rFonts w:ascii="Calibri" w:hAnsi="Calibri"/>
          <w:b/>
          <w:color w:val="525866"/>
          <w:sz w:val="22"/>
        </w:rPr>
        <w:t xml:space="preserve">Ongoing — AIG Retail Transition: </w:t>
      </w:r>
      <w:r>
        <w:rPr>
          <w:rFonts w:ascii="Calibri" w:hAnsi="Calibri"/>
          <w:color w:val="525866"/>
          <w:sz w:val="22"/>
        </w:rPr>
        <w:t>The transition of the commercial retail insurance renewal rights to AIG is progressing as planned. Management expects meaningful capital release to become visible in H2 2026. Canadian retail sale also expected to close within ~6 months of the Q1 call. Implication: Capital release catalyst for accelerated buybacks in H2 2026. Source: EG Q1 2026 Earnings Transcript.</w:t>
      </w:r>
    </w:p>
    <w:p>
      <w:pPr>
        <w:pStyle w:val="ListBullet"/>
        <w:ind w:left="360" w:hanging="360"/>
      </w:pPr>
      <w:r>
        <w:rPr>
          <w:rFonts w:ascii="Calibri" w:hAnsi="Calibri"/>
          <w:b/>
          <w:color w:val="525866"/>
          <w:sz w:val="22"/>
        </w:rPr>
        <w:t xml:space="preserve">Ongoing — Property Cat Pricing (6/1 Florida Renewal): </w:t>
      </w:r>
      <w:r>
        <w:rPr>
          <w:rFonts w:ascii="Calibri" w:hAnsi="Calibri"/>
          <w:color w:val="525866"/>
          <w:sz w:val="22"/>
        </w:rPr>
        <w:t>Management guided for mid-teens rate declines at the June 1 Florida renewal, with strong cedant demand and tort reform tailwinds as partial offsets. Peer commentary (RNR, ACGL) confirmed rates were down high-teens at mid-year but terms and conditions held. Implication: Top-line GWP headwind in Q2 reinsurance segment, but returns remain above thresholds. Source: EG Q1 2026 Earnings Transcript; RNR Q2 2026 Earnings Transcript; ACGL Q2 2026 Earnings Release.</w:t>
      </w:r>
    </w:p>
    <w:p>
      <w:pPr>
        <w:pStyle w:val="ListBullet"/>
        <w:ind w:left="360" w:hanging="360"/>
      </w:pPr>
      <w:r>
        <w:rPr>
          <w:rFonts w:ascii="Calibri" w:hAnsi="Calibri"/>
          <w:b/>
          <w:color w:val="525866"/>
          <w:sz w:val="22"/>
        </w:rPr>
        <w:t xml:space="preserve">Ongoing — Baltimore Bridge Reserve Development: </w:t>
      </w:r>
      <w:r>
        <w:rPr>
          <w:rFonts w:ascii="Calibri" w:hAnsi="Calibri"/>
          <w:color w:val="525866"/>
          <w:sz w:val="22"/>
        </w:rPr>
        <w:t xml:space="preserve">EG's initial reserve of $70M may prove insufficient as industry loss estimates have grown materially. Peer RNR confirmed the settlement resulted in 4.1 points of adverse development in its casualty/specialty segment in Q2 2026, with the industry loss estimate growing to ~$3B. EG management flagged "a few tens of millions" of incremental reserve possible in Q2 or Q3. Implication: </w:t>
      </w:r>
      <w:r>
        <w:rPr>
          <w:rFonts w:ascii="Calibri" w:hAnsi="Calibri"/>
          <w:b/>
          <w:color w:val="525866"/>
          <w:sz w:val="22"/>
        </w:rPr>
        <w:t>Single biggest downside risk to Q2 EPS</w:t>
      </w:r>
      <w:r>
        <w:rPr>
          <w:rFonts w:ascii="Calibri" w:hAnsi="Calibri"/>
          <w:color w:val="525866"/>
          <w:sz w:val="22"/>
        </w:rPr>
        <w:t>. Source: EG Q1 2026 Earnings Transcript; RNR Q2 2026 Earnings Transcript.</w:t>
      </w:r>
    </w:p>
    <w:p>
      <w:pPr>
        <w:pStyle w:val="ListBullet"/>
        <w:ind w:left="360" w:hanging="360"/>
      </w:pPr>
      <w:r>
        <w:rPr>
          <w:rFonts w:ascii="Calibri" w:hAnsi="Calibri"/>
          <w:b/>
          <w:color w:val="525866"/>
          <w:sz w:val="22"/>
        </w:rPr>
        <w:t xml:space="preserve">Ongoing — Middle East Conflict Exposure: </w:t>
      </w:r>
      <w:r>
        <w:rPr>
          <w:rFonts w:ascii="Calibri" w:hAnsi="Calibri"/>
          <w:color w:val="525866"/>
          <w:sz w:val="22"/>
        </w:rPr>
        <w:t>Peer AXIS Capital reported $31M (2.1 points) of Q2 2026 losses attributable to the Middle East conflict. EG included a $58M provision for the Iran conflict in Q1 2026 cat losses. Implication: Potential for incremental Q2 exposure if conflict escalates; management noted reserves are being monitored. Source: AXIS Q2 2026 Earnings Release; EG Q1 2026 Earnings Transcript.</w:t>
      </w:r>
    </w:p>
    <w:p>
      <w:r>
        <w:br w:type="page"/>
      </w:r>
    </w:p>
    <w:p>
      <w:pPr>
        <w:pStyle w:val="Heading2"/>
      </w:pPr>
      <w:r>
        <w:rPr>
          <w:rFonts w:ascii="Calibri" w:hAnsi="Calibri"/>
          <w:b/>
          <w:color w:val="3B4259"/>
          <w:sz w:val="28"/>
        </w:rPr>
        <w:t>7. Peer Commentaries / Read-Throughs (Last 60 Days — Q2 2026 Current-Quarter Only)</w:t>
      </w:r>
    </w:p>
    <w:p>
      <w:r>
        <w:rPr>
          <w:rFonts w:ascii="Calibri" w:hAnsi="Calibri"/>
          <w:b/>
          <w:color w:val="525866"/>
          <w:sz w:val="22"/>
        </w:rPr>
        <w:t xml:space="preserve">Key Takeaway: </w:t>
      </w:r>
      <w:r>
        <w:rPr>
          <w:rFonts w:ascii="Calibri" w:hAnsi="Calibri"/>
          <w:color w:val="525866"/>
          <w:sz w:val="22"/>
        </w:rPr>
        <w:t xml:space="preserve">Peers reporting Q2 2026 results (ACGL, RNR, AXS) collectively confirm: (1) property cat rates down high-teens at mid-year but terms held and returns remain adequate; (2) Baltimore Bridge adverse development is real and material for the industry; (3) casualty remains cautious with social inflation ongoing; (4) investment income is growing; and (5) capital return via buybacks is aggressive across the sector. All three are </w:t>
      </w:r>
      <w:r>
        <w:rPr>
          <w:rFonts w:ascii="Calibri" w:hAnsi="Calibri"/>
          <w:b/>
          <w:color w:val="525866"/>
          <w:sz w:val="22"/>
        </w:rPr>
        <w:t>net positive read-throughs for EG's underwriting quality but confirm the Baltimore Bridge reserve risk is not yet fully resolved.</w:t>
      </w:r>
    </w:p>
    <w:p>
      <w:r>
        <w:rPr>
          <w:rFonts w:ascii="Calibri" w:hAnsi="Calibri"/>
          <w:b/>
          <w:color w:val="525866"/>
          <w:sz w:val="22"/>
        </w:rPr>
        <w:t xml:space="preserve">Note: </w:t>
      </w:r>
      <w:r>
        <w:rPr>
          <w:rFonts w:ascii="Calibri" w:hAnsi="Calibri"/>
          <w:color w:val="525866"/>
          <w:sz w:val="22"/>
        </w:rPr>
        <w:t>Only Q2 2026 current-quarter results and forward-looking commentary disclosed between May 29 and July 28, 2026 are included below. Prior-quarter-only commentary has been excluded.</w:t>
      </w:r>
    </w:p>
    <w:p>
      <w:pPr>
        <w:pStyle w:val="Heading3"/>
      </w:pPr>
      <w:r>
        <w:rPr>
          <w:rFonts w:ascii="Calibri" w:hAnsi="Calibri"/>
          <w:b/>
          <w:color w:val="3B4259"/>
          <w:sz w:val="24"/>
        </w:rPr>
        <w:t>RenaissanceRe (RNR) — Q2 2026 Earnings (Reported July 22–23, 2026)</w:t>
      </w:r>
    </w:p>
    <w:p>
      <w:r>
        <w:rPr>
          <w:rFonts w:ascii="Calibri" w:hAnsi="Calibri"/>
          <w:b/>
          <w:color w:val="525866"/>
          <w:sz w:val="22"/>
        </w:rPr>
        <w:t xml:space="preserve">Relevance: </w:t>
      </w:r>
      <w:r>
        <w:rPr>
          <w:rFonts w:ascii="Calibri" w:hAnsi="Calibri"/>
          <w:color w:val="525866"/>
          <w:sz w:val="22"/>
        </w:rPr>
        <w:t>RNR is EG's closest pure-play reinsurance peer and the most direct read-through on property cat pricing, casualty reserve trends, and investment income.</w:t>
      </w:r>
    </w:p>
    <w:p>
      <w:pPr>
        <w:pStyle w:val="ListBullet"/>
        <w:ind w:left="360" w:hanging="360"/>
      </w:pPr>
      <w:r>
        <w:rPr>
          <w:rFonts w:ascii="Calibri" w:hAnsi="Calibri"/>
          <w:b/>
          <w:color w:val="525866"/>
          <w:sz w:val="22"/>
        </w:rPr>
        <w:t xml:space="preserve">Property Cat Pricing — Rates Down High-Teens, Terms Held: </w:t>
      </w:r>
      <w:r>
        <w:rPr>
          <w:rFonts w:ascii="Calibri" w:hAnsi="Calibri"/>
          <w:color w:val="525866"/>
          <w:sz w:val="22"/>
        </w:rPr>
        <w:t xml:space="preserve">"Property catastrophe rates were down high teens, which was consistent with our expectations." Despite the decline, RNR maintained that "property cap rates remain broadly adequate" and that it "continue[s] to like the property cap market." At mid-year, U.S. rate decreases were in the "high teen percentages," a step down from "low teen percentages" at January 1. Over the last two years, rates in both the January 1 and June 1 U.S. property cat books are "both down by about 20%" following a ~50% increase in 2023. </w:t>
      </w:r>
      <w:r>
        <w:rPr>
          <w:rFonts w:ascii="Calibri" w:hAnsi="Calibri"/>
          <w:b/>
          <w:color w:val="525866"/>
          <w:sz w:val="22"/>
        </w:rPr>
        <w:t>EG read-through: Confirms EG's Q1 guidance of mid-teens Florida rate declines; returns remain above thresholds but the pricing tailwind is fading.</w:t>
      </w:r>
    </w:p>
    <w:p>
      <w:pPr>
        <w:pStyle w:val="ListBullet"/>
        <w:ind w:left="360" w:hanging="360"/>
      </w:pPr>
      <w:r>
        <w:rPr>
          <w:rFonts w:ascii="Calibri" w:hAnsi="Calibri"/>
          <w:b/>
          <w:color w:val="525866"/>
          <w:sz w:val="22"/>
        </w:rPr>
        <w:t xml:space="preserve">Terms &amp; Conditions Held: </w:t>
      </w:r>
      <w:r>
        <w:rPr>
          <w:rFonts w:ascii="Calibri" w:hAnsi="Calibri"/>
          <w:color w:val="525866"/>
          <w:sz w:val="22"/>
        </w:rPr>
        <w:t xml:space="preserve">"Terms and conditions have stayed very strong really ever since the step change in 2023." RNR is "still attaching at the capital level rather than the earnings level" and "coverage has not broadened." </w:t>
      </w:r>
      <w:r>
        <w:rPr>
          <w:rFonts w:ascii="Calibri" w:hAnsi="Calibri"/>
          <w:b/>
          <w:color w:val="525866"/>
          <w:sz w:val="22"/>
        </w:rPr>
        <w:t>EG read-through: Structural discipline is intact, consistent with EG's own messaging on nonconcurrent terms (&gt;80% of Florida deals).</w:t>
      </w:r>
    </w:p>
    <w:p>
      <w:pPr>
        <w:pStyle w:val="ListBullet"/>
        <w:ind w:left="360" w:hanging="360"/>
      </w:pPr>
      <w:r>
        <w:rPr>
          <w:rFonts w:ascii="Calibri" w:hAnsi="Calibri"/>
          <w:b/>
          <w:color w:val="525866"/>
          <w:sz w:val="22"/>
        </w:rPr>
        <w:t xml:space="preserve">Mid-Year Renewals — Grew Limit Selectively: </w:t>
      </w:r>
      <w:r>
        <w:rPr>
          <w:rFonts w:ascii="Calibri" w:hAnsi="Calibri"/>
          <w:color w:val="525866"/>
          <w:sz w:val="22"/>
        </w:rPr>
        <w:t xml:space="preserve">RNR grew U.S. property cat limit by $600M at mid-year, focusing on "nationwide accounts of key clients and California programs where adequacy is particularly strong." It "held our share on Florida domestics" and "maintained our private pricing on 65% of this Florida premium." Year-to-date, property cat GPW is "only down 9%" excluding reinstatements. </w:t>
      </w:r>
      <w:r>
        <w:rPr>
          <w:rFonts w:ascii="Calibri" w:hAnsi="Calibri"/>
          <w:b/>
          <w:color w:val="525866"/>
          <w:sz w:val="22"/>
        </w:rPr>
        <w:t>EG read-through: Selective growth is achievable even in a softening market; EG's disciplined approach should yield similar outcomes.</w:t>
      </w:r>
    </w:p>
    <w:p>
      <w:pPr>
        <w:pStyle w:val="ListBullet"/>
        <w:ind w:left="360" w:hanging="360"/>
      </w:pPr>
      <w:r>
        <w:rPr>
          <w:rFonts w:ascii="Calibri" w:hAnsi="Calibri"/>
          <w:b/>
          <w:color w:val="525866"/>
          <w:sz w:val="22"/>
        </w:rPr>
        <w:t xml:space="preserve">Baltimore Bridge — Adverse Development Confirmed: </w:t>
      </w:r>
      <w:r>
        <w:rPr>
          <w:rFonts w:ascii="Calibri" w:hAnsi="Calibri"/>
          <w:color w:val="525866"/>
          <w:sz w:val="22"/>
        </w:rPr>
        <w:t xml:space="preserve">RNR reported "4.4 percentage points of prior year adverse development" in its casualty/specialty segment, of which "4.1 points related to the Baltimore Bridge collapse." The company had reserved the event to a "$3 billion industry loss from the start," so the net additional impact was "only $12 million." </w:t>
      </w:r>
      <w:r>
        <w:rPr>
          <w:rFonts w:ascii="Calibri" w:hAnsi="Calibri"/>
          <w:b/>
          <w:color w:val="525866"/>
          <w:sz w:val="22"/>
        </w:rPr>
        <w:t>EG read-through: Critical negative read-through. EG's initial reserve of $70M was set before the industry loss estimate grew to ~$3B. EG management flagged "a few tens of millions" of incremental reserve possible in Q2 or Q3 — RNR's experience confirms this risk is real and likely to materialize.</w:t>
      </w:r>
    </w:p>
    <w:p>
      <w:pPr>
        <w:pStyle w:val="ListBullet"/>
        <w:ind w:left="360" w:hanging="360"/>
      </w:pPr>
      <w:r>
        <w:rPr>
          <w:rFonts w:ascii="Calibri" w:hAnsi="Calibri"/>
          <w:b/>
          <w:color w:val="525866"/>
          <w:sz w:val="22"/>
        </w:rPr>
        <w:t xml:space="preserve">Casualty — Cautious, Social Inflation Ongoing: </w:t>
      </w:r>
      <w:r>
        <w:rPr>
          <w:rFonts w:ascii="Calibri" w:hAnsi="Calibri"/>
          <w:color w:val="525866"/>
          <w:sz w:val="22"/>
        </w:rPr>
        <w:t xml:space="preserve">"Social inflation continues to impact casualty, and we have been proactive in recognizing trend over the last several years." General casualty GPW was "down 17%" as RNR continued to reduce its general liability portfolio. The casualty/specialty combined ratio was "above 100% this quarter" (excluding Baltimore Bridge, adjusted combined ratio would have been "in the high 90s"). </w:t>
      </w:r>
      <w:r>
        <w:rPr>
          <w:rFonts w:ascii="Calibri" w:hAnsi="Calibri"/>
          <w:b/>
          <w:color w:val="525866"/>
          <w:sz w:val="22"/>
        </w:rPr>
        <w:t>EG read-through: Consistent with EG's own casualty discipline; confirms the industry is still in a cautious mode on casualty reserving.</w:t>
      </w:r>
    </w:p>
    <w:p>
      <w:pPr>
        <w:pStyle w:val="ListBullet"/>
        <w:ind w:left="360" w:hanging="360"/>
      </w:pPr>
      <w:r>
        <w:rPr>
          <w:rFonts w:ascii="Calibri" w:hAnsi="Calibri"/>
          <w:b/>
          <w:color w:val="525866"/>
          <w:sz w:val="22"/>
        </w:rPr>
        <w:t xml:space="preserve">Investment Income — All-Time High: </w:t>
      </w:r>
      <w:r>
        <w:rPr>
          <w:rFonts w:ascii="Calibri" w:hAnsi="Calibri"/>
          <w:color w:val="525866"/>
          <w:sz w:val="22"/>
        </w:rPr>
        <w:t xml:space="preserve">Retained net investment income reached an "all time high" of $314M in Q2 2026, up 3% from Q1 and 10% year-over-year. RNR is extending duration to "lock in the benefit of higher rates" (portfolio duration increased from 3.4 to 3.5 years). Q3 NII expected to "continue to trend modestly higher." </w:t>
      </w:r>
      <w:r>
        <w:rPr>
          <w:rFonts w:ascii="Calibri" w:hAnsi="Calibri"/>
          <w:b/>
          <w:color w:val="525866"/>
          <w:sz w:val="22"/>
        </w:rPr>
        <w:t>EG read-through: Positive for EG's fixed income NII trajectory, though EG's Q2 consensus of $496M already assumes normalization from Q1's $567M (driven by alt. returns).</w:t>
      </w:r>
    </w:p>
    <w:p>
      <w:pPr>
        <w:pStyle w:val="ListBullet"/>
        <w:ind w:left="360" w:hanging="360"/>
      </w:pPr>
      <w:r>
        <w:rPr>
          <w:rFonts w:ascii="Calibri" w:hAnsi="Calibri"/>
          <w:b/>
          <w:color w:val="525866"/>
          <w:sz w:val="22"/>
        </w:rPr>
        <w:t xml:space="preserve">Capital Return — Aggressive Buybacks: </w:t>
      </w:r>
      <w:r>
        <w:rPr>
          <w:rFonts w:ascii="Calibri" w:hAnsi="Calibri"/>
          <w:color w:val="525866"/>
          <w:sz w:val="22"/>
        </w:rPr>
        <w:t xml:space="preserve">RNR repurchased $350M of shares in Q2 2026 and an additional $83M through July 20 in Q3. Since Q2 2024, RNR has bought back $3B of shares at an average of $258/share, growing tangible BVPS by 66%. </w:t>
      </w:r>
      <w:r>
        <w:rPr>
          <w:rFonts w:ascii="Calibri" w:hAnsi="Calibri"/>
          <w:b/>
          <w:color w:val="525866"/>
          <w:sz w:val="22"/>
        </w:rPr>
        <w:t>EG read-through: Sector-wide buyback conviction is high; EG's raised $300M/quarter floor is consistent with peer behavior.</w:t>
      </w:r>
    </w:p>
    <w:p>
      <w:pPr>
        <w:pStyle w:val="ListBullet"/>
        <w:ind w:left="360" w:hanging="360"/>
      </w:pPr>
      <w:r>
        <w:rPr>
          <w:rFonts w:ascii="Calibri" w:hAnsi="Calibri"/>
          <w:b/>
          <w:color w:val="525866"/>
          <w:sz w:val="22"/>
        </w:rPr>
        <w:t xml:space="preserve">Outlook — Continued Pricing Pressure in 2027: </w:t>
      </w:r>
      <w:r>
        <w:rPr>
          <w:rFonts w:ascii="Calibri" w:hAnsi="Calibri"/>
          <w:color w:val="525866"/>
          <w:sz w:val="22"/>
        </w:rPr>
        <w:t xml:space="preserve">RNR expects "continued pricing pressure moving forward" into 2027 due to "a lot of supply in the market" and demand increasing "at a reduced level." Competition expected to "remain robust." </w:t>
      </w:r>
      <w:r>
        <w:rPr>
          <w:rFonts w:ascii="Calibri" w:hAnsi="Calibri"/>
          <w:b/>
          <w:color w:val="525866"/>
          <w:sz w:val="22"/>
        </w:rPr>
        <w:t>EG read-through: Medium-term headwind for property cat GWP growth; reinforces EG's strategy of prioritizing underwriting discipline over top-line growth.</w:t>
      </w:r>
    </w:p>
    <w:p>
      <w:pPr>
        <w:pStyle w:val="Heading3"/>
      </w:pPr>
      <w:r>
        <w:rPr>
          <w:rFonts w:ascii="Calibri" w:hAnsi="Calibri"/>
          <w:b/>
          <w:color w:val="3B4259"/>
          <w:sz w:val="24"/>
        </w:rPr>
        <w:t>Arch Capital Group (ACGL) — Q2 2026 Earnings Release (Reported July 28, 2026)</w:t>
      </w:r>
    </w:p>
    <w:p>
      <w:r>
        <w:rPr>
          <w:rFonts w:ascii="Calibri" w:hAnsi="Calibri"/>
          <w:b/>
          <w:color w:val="525866"/>
          <w:sz w:val="22"/>
        </w:rPr>
        <w:t xml:space="preserve">Relevance: </w:t>
      </w:r>
      <w:r>
        <w:rPr>
          <w:rFonts w:ascii="Calibri" w:hAnsi="Calibri"/>
          <w:color w:val="525866"/>
          <w:sz w:val="22"/>
        </w:rPr>
        <w:t>ACGL is a diversified reinsurance/insurance/mortgage peer with significant overlap in specialty and property cat lines. Its Q2 results provide a read-through on underwriting margins, reserve development, and capital deployment.</w:t>
      </w:r>
    </w:p>
    <w:p>
      <w:pPr>
        <w:pStyle w:val="ListBullet"/>
        <w:ind w:left="360" w:hanging="360"/>
      </w:pPr>
      <w:r>
        <w:rPr>
          <w:rFonts w:ascii="Calibri" w:hAnsi="Calibri"/>
          <w:b/>
          <w:color w:val="525866"/>
          <w:sz w:val="22"/>
        </w:rPr>
        <w:t xml:space="preserve">Reinsurance Segment — Selective Non-Renewals: </w:t>
      </w:r>
      <w:r>
        <w:rPr>
          <w:rFonts w:ascii="Calibri" w:hAnsi="Calibri"/>
          <w:color w:val="525866"/>
          <w:sz w:val="22"/>
        </w:rPr>
        <w:t xml:space="preserve">ACGL's reinsurance net premiums written were 10.4% lower than Q2 2025, "due, in part, to non-renewals, share reductions as well as targeted increased retrocessions." Gross premiums written were essentially flat (+0.2%). </w:t>
      </w:r>
      <w:r>
        <w:rPr>
          <w:rFonts w:ascii="Calibri" w:hAnsi="Calibri"/>
          <w:b/>
          <w:color w:val="525866"/>
          <w:sz w:val="22"/>
        </w:rPr>
        <w:t>EG read-through: Confirms the industry is actively managing down exposure in lines where pricing is inadequate; EG's own GWP decline is consistent with this sector-wide discipline.</w:t>
      </w:r>
    </w:p>
    <w:p>
      <w:pPr>
        <w:pStyle w:val="ListBullet"/>
        <w:ind w:left="360" w:hanging="360"/>
      </w:pPr>
      <w:r>
        <w:rPr>
          <w:rFonts w:ascii="Calibri" w:hAnsi="Calibri"/>
          <w:b/>
          <w:color w:val="525866"/>
          <w:sz w:val="22"/>
        </w:rPr>
        <w:t xml:space="preserve">Catastrophe Losses — $201M Pre-Tax: </w:t>
      </w:r>
      <w:r>
        <w:rPr>
          <w:rFonts w:ascii="Calibri" w:hAnsi="Calibri"/>
          <w:color w:val="525866"/>
          <w:sz w:val="22"/>
        </w:rPr>
        <w:t xml:space="preserve">ACGL reported $201M of pre-tax current accident year catastrophic losses (net of reinsurance and reinstatement premiums) across insurance and reinsurance segments. The insurance segment reflected 7.6 points of current year cat activity (vs. 2.9 points in Q2 2025), while the reinsurance segment reflected 3.0 points (vs. 5.5 points in Q2 2025). </w:t>
      </w:r>
      <w:r>
        <w:rPr>
          <w:rFonts w:ascii="Calibri" w:hAnsi="Calibri"/>
          <w:b/>
          <w:color w:val="525866"/>
          <w:sz w:val="22"/>
        </w:rPr>
        <w:t>EG read-through: Q2 2026 was a moderately active cat quarter — not benign, not catastrophic. EG's Q2 combined ratio consensus of ~91.98% implies a similar moderate cat load.</w:t>
      </w:r>
    </w:p>
    <w:p>
      <w:pPr>
        <w:pStyle w:val="ListBullet"/>
        <w:ind w:left="360" w:hanging="360"/>
      </w:pPr>
      <w:r>
        <w:rPr>
          <w:rFonts w:ascii="Calibri" w:hAnsi="Calibri"/>
          <w:b/>
          <w:color w:val="525866"/>
          <w:sz w:val="22"/>
        </w:rPr>
        <w:t xml:space="preserve">Reserve Development — Broadly Favorable: </w:t>
      </w:r>
      <w:r>
        <w:rPr>
          <w:rFonts w:ascii="Calibri" w:hAnsi="Calibri"/>
          <w:color w:val="525866"/>
          <w:sz w:val="22"/>
        </w:rPr>
        <w:t xml:space="preserve">ACGL reported overall favorable prior year reserve development of $165M. Reinsurance segment favorable development reduced the loss ratio by 5.3 points (vs. 3.9 points in Q2 2025). Insurance segment favorable development reduced the loss ratio by 1.4 points (vs. 0.4 points in Q2 2025). </w:t>
      </w:r>
      <w:r>
        <w:rPr>
          <w:rFonts w:ascii="Calibri" w:hAnsi="Calibri"/>
          <w:b/>
          <w:color w:val="525866"/>
          <w:sz w:val="22"/>
        </w:rPr>
        <w:t>EG read-through: Positive signal for the industry's reserve adequacy in property lines; EG's Q1 favorable development of $33M (short-tail driven) may continue in Q2 absent Baltimore Bridge charges.</w:t>
      </w:r>
    </w:p>
    <w:p>
      <w:pPr>
        <w:pStyle w:val="ListBullet"/>
        <w:ind w:left="360" w:hanging="360"/>
      </w:pPr>
      <w:r>
        <w:rPr>
          <w:rFonts w:ascii="Calibri" w:hAnsi="Calibri"/>
          <w:b/>
          <w:color w:val="525866"/>
          <w:sz w:val="22"/>
        </w:rPr>
        <w:t xml:space="preserve">Investment Income — Growing on Asset Base Expansion: </w:t>
      </w:r>
      <w:r>
        <w:rPr>
          <w:rFonts w:ascii="Calibri" w:hAnsi="Calibri"/>
          <w:color w:val="525866"/>
          <w:sz w:val="22"/>
        </w:rPr>
        <w:t xml:space="preserve">ACGL's pre-tax net investment income was $417M in Q2 2026, up from $408M in Q1 2026 and $405M in Q2 2025, "primarily reflected growth in average invested assets, due in part to strong operating cash flows." The pre-tax investment income yield (at amortized cost) was 3.91%, slightly below Q1's 3.99%. </w:t>
      </w:r>
      <w:r>
        <w:rPr>
          <w:rFonts w:ascii="Calibri" w:hAnsi="Calibri"/>
          <w:b/>
          <w:color w:val="525866"/>
          <w:sz w:val="22"/>
        </w:rPr>
        <w:t>EG read-through: Fixed income NII is growing across the sector on asset base expansion; EG's Q2 NII consensus of $496M (vs. $567M in Q1) implies a significant normalization of alternative returns, which is the key swing factor.</w:t>
      </w:r>
    </w:p>
    <w:p>
      <w:pPr>
        <w:pStyle w:val="ListBullet"/>
        <w:ind w:left="360" w:hanging="360"/>
      </w:pPr>
      <w:r>
        <w:rPr>
          <w:rFonts w:ascii="Calibri" w:hAnsi="Calibri"/>
          <w:b/>
          <w:color w:val="525866"/>
          <w:sz w:val="22"/>
        </w:rPr>
        <w:t xml:space="preserve">Capital Deployment — $1.2B Buyback + $2B Debt Issuance: </w:t>
      </w:r>
      <w:r>
        <w:rPr>
          <w:rFonts w:ascii="Calibri" w:hAnsi="Calibri"/>
          <w:color w:val="525866"/>
          <w:sz w:val="22"/>
        </w:rPr>
        <w:t xml:space="preserve">ACGL executed $1.2B of share repurchases in Q2 2026 and completed a $2.0B senior notes offering (June 9, 2026) to refinance existing debt. Book value per diluted share grew 3.2% in the quarter to $80.67. </w:t>
      </w:r>
      <w:r>
        <w:rPr>
          <w:rFonts w:ascii="Calibri" w:hAnsi="Calibri"/>
          <w:b/>
          <w:color w:val="525866"/>
          <w:sz w:val="22"/>
        </w:rPr>
        <w:t>EG read-through: Sector-wide capital return is aggressive; ACGL's scale of buybacks dwarfs EG's $300M/quarter floor but confirms the sector's capital return conviction.</w:t>
      </w:r>
    </w:p>
    <w:p>
      <w:pPr>
        <w:pStyle w:val="ListBullet"/>
        <w:ind w:left="360" w:hanging="360"/>
      </w:pPr>
      <w:r>
        <w:rPr>
          <w:rFonts w:ascii="Calibri" w:hAnsi="Calibri"/>
          <w:b/>
          <w:color w:val="525866"/>
          <w:sz w:val="22"/>
        </w:rPr>
        <w:t xml:space="preserve">Overall Performance — Strong Diversified Results: </w:t>
      </w:r>
      <w:r>
        <w:rPr>
          <w:rFonts w:ascii="Calibri" w:hAnsi="Calibri"/>
          <w:color w:val="525866"/>
          <w:sz w:val="22"/>
        </w:rPr>
        <w:t xml:space="preserve">ACGL CEO Nicolas Papadopoulo highlighted "solid underwriting performance across our three segments, reflecting the continued strength of our diversified platform and disciplined execution." Consolidated combined ratio was 93.1%. </w:t>
      </w:r>
      <w:r>
        <w:rPr>
          <w:rFonts w:ascii="Calibri" w:hAnsi="Calibri"/>
          <w:b/>
          <w:color w:val="525866"/>
          <w:sz w:val="22"/>
        </w:rPr>
        <w:t>EG read-through: A 93.1% combined ratio at ACGL vs. EG's consensus of 91.98% suggests EG's bar is achievable if cat activity was moderate in Q2.</w:t>
      </w:r>
    </w:p>
    <w:p>
      <w:pPr>
        <w:pStyle w:val="Heading3"/>
      </w:pPr>
      <w:r>
        <w:rPr>
          <w:rFonts w:ascii="Calibri" w:hAnsi="Calibri"/>
          <w:b/>
          <w:color w:val="3B4259"/>
          <w:sz w:val="24"/>
        </w:rPr>
        <w:t>AXIS Capital (AXS) — Q2 2026 Earnings Release (Reported July 28, 2026)</w:t>
      </w:r>
    </w:p>
    <w:p>
      <w:r>
        <w:rPr>
          <w:rFonts w:ascii="Calibri" w:hAnsi="Calibri"/>
          <w:b/>
          <w:color w:val="525866"/>
          <w:sz w:val="22"/>
        </w:rPr>
        <w:t xml:space="preserve">Relevance: </w:t>
      </w:r>
      <w:r>
        <w:rPr>
          <w:rFonts w:ascii="Calibri" w:hAnsi="Calibri"/>
          <w:color w:val="525866"/>
          <w:sz w:val="22"/>
        </w:rPr>
        <w:t>AXS is a specialty insurance and reinsurance peer with meaningful overlap in casualty, property, and specialty lines. Its Q2 results provide a read-through on competitive conditions and loss trends.</w:t>
      </w:r>
    </w:p>
    <w:p>
      <w:pPr>
        <w:pStyle w:val="ListBullet"/>
        <w:ind w:left="360" w:hanging="360"/>
      </w:pPr>
      <w:r>
        <w:rPr>
          <w:rFonts w:ascii="Calibri" w:hAnsi="Calibri"/>
          <w:b/>
          <w:color w:val="525866"/>
          <w:sz w:val="22"/>
        </w:rPr>
        <w:t xml:space="preserve">Reinsurance — Casualty Non-Renewals Driving Top-Line Decline: </w:t>
      </w:r>
      <w:r>
        <w:rPr>
          <w:rFonts w:ascii="Calibri" w:hAnsi="Calibri"/>
          <w:color w:val="525866"/>
          <w:sz w:val="22"/>
        </w:rPr>
        <w:t xml:space="preserve">AXS reinsurance gross premiums written fell 25% in Q2 2026, "primarily attributable to non-renewals and decreased line sizes in casualty lines." Net premiums written fell 32%, also reflecting "increased cession rates in professional lines and liability lines." </w:t>
      </w:r>
      <w:r>
        <w:rPr>
          <w:rFonts w:ascii="Calibri" w:hAnsi="Calibri"/>
          <w:b/>
          <w:color w:val="525866"/>
          <w:sz w:val="22"/>
        </w:rPr>
        <w:t>EG read-through: Confirms the industry-wide casualty reinsurance pullback; EG's own casualty XOL and pro-rata reductions are consistent with this trend.</w:t>
      </w:r>
    </w:p>
    <w:p>
      <w:pPr>
        <w:pStyle w:val="ListBullet"/>
        <w:ind w:left="360" w:hanging="360"/>
      </w:pPr>
      <w:r>
        <w:rPr>
          <w:rFonts w:ascii="Calibri" w:hAnsi="Calibri"/>
          <w:b/>
          <w:color w:val="525866"/>
          <w:sz w:val="22"/>
        </w:rPr>
        <w:t xml:space="preserve">Insurance — Property Softening + Competitive Casualty: </w:t>
      </w:r>
      <w:r>
        <w:rPr>
          <w:rFonts w:ascii="Calibri" w:hAnsi="Calibri"/>
          <w:color w:val="525866"/>
          <w:sz w:val="22"/>
        </w:rPr>
        <w:t xml:space="preserve">AXS insurance current accident year loss ratio (ex-cat) increased 1.7 points, "principally due to an acceleration in property market softening and the recognition of increasingly competitive conditions in casualty lines." Insurance gross premiums written grew 15% (all lines except cyber). </w:t>
      </w:r>
      <w:r>
        <w:rPr>
          <w:rFonts w:ascii="Calibri" w:hAnsi="Calibri"/>
          <w:b/>
          <w:color w:val="525866"/>
          <w:sz w:val="22"/>
        </w:rPr>
        <w:t>EG read-through: Property market softening is accelerating in insurance lines — a potential headwind for EG's Global Wholesale &amp; Specialty segment margins.</w:t>
      </w:r>
    </w:p>
    <w:p>
      <w:pPr>
        <w:pStyle w:val="ListBullet"/>
        <w:ind w:left="360" w:hanging="360"/>
      </w:pPr>
      <w:r>
        <w:rPr>
          <w:rFonts w:ascii="Calibri" w:hAnsi="Calibri"/>
          <w:b/>
          <w:color w:val="525866"/>
          <w:sz w:val="22"/>
        </w:rPr>
        <w:t xml:space="preserve">Catastrophe Losses — $80M Including Middle East: </w:t>
      </w:r>
      <w:r>
        <w:rPr>
          <w:rFonts w:ascii="Calibri" w:hAnsi="Calibri"/>
          <w:color w:val="525866"/>
          <w:sz w:val="22"/>
        </w:rPr>
        <w:t xml:space="preserve">AXS reported $80M of pre-tax cat and weather-related losses (net of reinsurance), including $49M of natural catastrophe losses and $31M attributable to the Middle East conflict. The insurance segment bore $78M of the total. </w:t>
      </w:r>
      <w:r>
        <w:rPr>
          <w:rFonts w:ascii="Calibri" w:hAnsi="Calibri"/>
          <w:b/>
          <w:color w:val="525866"/>
          <w:sz w:val="22"/>
        </w:rPr>
        <w:t>EG read-through: Middle East conflict losses are real and ongoing; EG's Q1 $58M Iran provision may need to be revisited if the conflict escalated further in Q2.</w:t>
      </w:r>
    </w:p>
    <w:p>
      <w:pPr>
        <w:pStyle w:val="ListBullet"/>
        <w:ind w:left="360" w:hanging="360"/>
      </w:pPr>
      <w:r>
        <w:rPr>
          <w:rFonts w:ascii="Calibri" w:hAnsi="Calibri"/>
          <w:b/>
          <w:color w:val="525866"/>
          <w:sz w:val="22"/>
        </w:rPr>
        <w:t xml:space="preserve">Reserve Development — Modest Favorable: </w:t>
      </w:r>
      <w:r>
        <w:rPr>
          <w:rFonts w:ascii="Calibri" w:hAnsi="Calibri"/>
          <w:color w:val="525866"/>
          <w:sz w:val="22"/>
        </w:rPr>
        <w:t xml:space="preserve">AXS reported net favorable prior year reserve development of $15M (Insurance: $12M; Reinsurance: $3M), down from $20M in Q2 2025. </w:t>
      </w:r>
      <w:r>
        <w:rPr>
          <w:rFonts w:ascii="Calibri" w:hAnsi="Calibri"/>
          <w:b/>
          <w:color w:val="525866"/>
          <w:sz w:val="22"/>
        </w:rPr>
        <w:t>EG read-through: Favorable development is narrowing at AXS; EG's Q2 development will be heavily influenced by the Baltimore Bridge resolution.</w:t>
      </w:r>
    </w:p>
    <w:p>
      <w:pPr>
        <w:pStyle w:val="ListBullet"/>
        <w:ind w:left="360" w:hanging="360"/>
      </w:pPr>
      <w:r>
        <w:rPr>
          <w:rFonts w:ascii="Calibri" w:hAnsi="Calibri"/>
          <w:b/>
          <w:color w:val="525866"/>
          <w:sz w:val="22"/>
        </w:rPr>
        <w:t xml:space="preserve">Investment Income — Slight Decline: </w:t>
      </w:r>
      <w:r>
        <w:rPr>
          <w:rFonts w:ascii="Calibri" w:hAnsi="Calibri"/>
          <w:color w:val="525866"/>
          <w:sz w:val="22"/>
        </w:rPr>
        <w:t xml:space="preserve">AXS net investment income was $182M in Q2 2026, down 3% vs. Q2 2025, "primarily attributable to lower income from other investments and lower income from cash following the loss portfolio transfer reinsurance agreement completed with Enstar in Q2 2025." Fixed maturity income grew on higher average assets and yields. Book yield on fixed maturities was 4.8% at June 30, 2026. </w:t>
      </w:r>
      <w:r>
        <w:rPr>
          <w:rFonts w:ascii="Calibri" w:hAnsi="Calibri"/>
          <w:b/>
          <w:color w:val="525866"/>
          <w:sz w:val="22"/>
        </w:rPr>
        <w:t>EG read-through: Fixed income yields remain supportive; EG's 4.5% book yield is slightly below AXS's 4.8%, but EG's larger asset base drives higher absolute NII.</w:t>
      </w:r>
    </w:p>
    <w:p>
      <w:pPr>
        <w:pStyle w:val="ListBullet"/>
        <w:ind w:left="360" w:hanging="360"/>
      </w:pPr>
      <w:r>
        <w:rPr>
          <w:rFonts w:ascii="Calibri" w:hAnsi="Calibri"/>
          <w:b/>
          <w:color w:val="525866"/>
          <w:sz w:val="22"/>
        </w:rPr>
        <w:t xml:space="preserve">Capital Return — $122M Returned: </w:t>
      </w:r>
      <w:r>
        <w:rPr>
          <w:rFonts w:ascii="Calibri" w:hAnsi="Calibri"/>
          <w:color w:val="525866"/>
          <w:sz w:val="22"/>
        </w:rPr>
        <w:t xml:space="preserve">AXS returned $122M to common shareholders in Q2 2026 ($89M buybacks + $33M dividends). Book value per diluted share grew 3.2% in the quarter to $80.67. </w:t>
      </w:r>
      <w:r>
        <w:rPr>
          <w:rFonts w:ascii="Calibri" w:hAnsi="Calibri"/>
          <w:b/>
          <w:color w:val="525866"/>
          <w:sz w:val="22"/>
        </w:rPr>
        <w:t>EG read-through: AXS's capital return is more modest than EG's $300M/quarter floor, reflecting EG's stronger capital generation and more aggressive buyback posture.</w:t>
      </w:r>
    </w:p>
    <w:p>
      <w:pPr>
        <w:pStyle w:val="ListBullet"/>
        <w:ind w:left="360" w:hanging="360"/>
      </w:pPr>
      <w:r>
        <w:rPr>
          <w:rFonts w:ascii="Calibri" w:hAnsi="Calibri"/>
          <w:b/>
          <w:color w:val="525866"/>
          <w:sz w:val="22"/>
        </w:rPr>
        <w:t xml:space="preserve">Overall — Consolidated Combined Ratio 93.1%: </w:t>
      </w:r>
      <w:r>
        <w:rPr>
          <w:rFonts w:ascii="Calibri" w:hAnsi="Calibri"/>
          <w:color w:val="525866"/>
          <w:sz w:val="22"/>
        </w:rPr>
        <w:t xml:space="preserve">AXS reported operating income of $211M and annualized operating ROACE of 14.3%. Underwriting income was $143M. </w:t>
      </w:r>
      <w:r>
        <w:rPr>
          <w:rFonts w:ascii="Calibri" w:hAnsi="Calibri"/>
          <w:b/>
          <w:color w:val="525866"/>
          <w:sz w:val="22"/>
        </w:rPr>
        <w:t>EG read-through: AXS's 93.1% combined ratio is slightly above EG's consensus of 91.98%, suggesting EG's bar is achievable in a moderate cat environment.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EG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Property Cat Pricing</w:t>
            </w:r>
          </w:p>
        </w:tc>
        <w:tc>
          <w:tcPr>
            <w:tcW w:type="dxa" w:w="2160"/>
          </w:tcPr>
          <w:p>
            <w:r>
              <w:rPr>
                <w:rFonts w:ascii="Calibri" w:hAnsi="Calibri"/>
                <w:sz w:val="22"/>
              </w:rPr>
              <w:t>Rates down high-teens at mid-year; terms held; returns adequate (RNR, ACGL)</w:t>
            </w:r>
          </w:p>
        </w:tc>
        <w:tc>
          <w:tcPr>
            <w:tcW w:type="dxa" w:w="2160"/>
          </w:tcPr>
          <w:p>
            <w:r>
              <w:rPr>
                <w:rFonts w:ascii="Calibri" w:hAnsi="Calibri"/>
                <w:sz w:val="22"/>
              </w:rPr>
              <w:t>GWP headwind confirmed; underwriting margins intact</w:t>
            </w:r>
          </w:p>
        </w:tc>
        <w:tc>
          <w:tcPr>
            <w:tcW w:type="dxa" w:w="2160"/>
          </w:tcPr>
          <w:p>
            <w:r>
              <w:rPr>
                <w:rFonts w:ascii="Calibri" w:hAnsi="Calibri"/>
                <w:b/>
                <w:sz w:val="22"/>
              </w:rPr>
              <w:t>Neutral</w:t>
            </w:r>
          </w:p>
        </w:tc>
      </w:tr>
      <w:tr>
        <w:tc>
          <w:tcPr>
            <w:tcW w:type="dxa" w:w="2160"/>
          </w:tcPr>
          <w:p>
            <w:r>
              <w:rPr>
                <w:rFonts w:ascii="Calibri" w:hAnsi="Calibri"/>
                <w:sz w:val="22"/>
              </w:rPr>
              <w:t>Baltimore Bridge Reserve</w:t>
            </w:r>
          </w:p>
        </w:tc>
        <w:tc>
          <w:tcPr>
            <w:tcW w:type="dxa" w:w="2160"/>
          </w:tcPr>
          <w:p>
            <w:r>
              <w:rPr>
                <w:rFonts w:ascii="Calibri" w:hAnsi="Calibri"/>
                <w:sz w:val="22"/>
              </w:rPr>
              <w:t>RNR booked 4.1 pts adverse development; industry loss ~$3B</w:t>
            </w:r>
          </w:p>
        </w:tc>
        <w:tc>
          <w:tcPr>
            <w:tcW w:type="dxa" w:w="2160"/>
          </w:tcPr>
          <w:p>
            <w:r>
              <w:rPr>
                <w:rFonts w:ascii="Calibri" w:hAnsi="Calibri"/>
                <w:sz w:val="22"/>
              </w:rPr>
              <w:t>EG's $70M initial reserve likely insufficient; incremental charge probable</w:t>
            </w:r>
          </w:p>
        </w:tc>
        <w:tc>
          <w:tcPr>
            <w:tcW w:type="dxa" w:w="2160"/>
          </w:tcPr>
          <w:p>
            <w:r>
              <w:rPr>
                <w:rFonts w:ascii="Calibri" w:hAnsi="Calibri"/>
                <w:b/>
                <w:color w:val="E5484D"/>
                <w:sz w:val="22"/>
              </w:rPr>
              <w:t>Negative</w:t>
            </w:r>
          </w:p>
        </w:tc>
      </w:tr>
      <w:tr>
        <w:tc>
          <w:tcPr>
            <w:tcW w:type="dxa" w:w="2160"/>
          </w:tcPr>
          <w:p>
            <w:r>
              <w:rPr>
                <w:rFonts w:ascii="Calibri" w:hAnsi="Calibri"/>
                <w:sz w:val="22"/>
              </w:rPr>
              <w:t>Casualty Discipline</w:t>
            </w:r>
          </w:p>
        </w:tc>
        <w:tc>
          <w:tcPr>
            <w:tcW w:type="dxa" w:w="2160"/>
          </w:tcPr>
          <w:p>
            <w:r>
              <w:rPr>
                <w:rFonts w:ascii="Calibri" w:hAnsi="Calibri"/>
                <w:sz w:val="22"/>
              </w:rPr>
              <w:t>All peers reducing casualty exposure; social inflation ongoing (RNR, AXS)</w:t>
            </w:r>
          </w:p>
        </w:tc>
        <w:tc>
          <w:tcPr>
            <w:tcW w:type="dxa" w:w="2160"/>
          </w:tcPr>
          <w:p>
            <w:r>
              <w:rPr>
                <w:rFonts w:ascii="Calibri" w:hAnsi="Calibri"/>
                <w:sz w:val="22"/>
              </w:rPr>
              <w:t>Consistent with EG's casualty runoff strategy; no surprise</w:t>
            </w:r>
          </w:p>
        </w:tc>
        <w:tc>
          <w:tcPr>
            <w:tcW w:type="dxa" w:w="2160"/>
          </w:tcPr>
          <w:p>
            <w:r>
              <w:rPr>
                <w:rFonts w:ascii="Calibri" w:hAnsi="Calibri"/>
                <w:b/>
                <w:sz w:val="22"/>
              </w:rPr>
              <w:t>Neutral</w:t>
            </w:r>
          </w:p>
        </w:tc>
      </w:tr>
      <w:tr>
        <w:tc>
          <w:tcPr>
            <w:tcW w:type="dxa" w:w="2160"/>
          </w:tcPr>
          <w:p>
            <w:r>
              <w:rPr>
                <w:rFonts w:ascii="Calibri" w:hAnsi="Calibri"/>
                <w:sz w:val="22"/>
              </w:rPr>
              <w:t>Cat Losses (Q2 2026)</w:t>
            </w:r>
          </w:p>
        </w:tc>
        <w:tc>
          <w:tcPr>
            <w:tcW w:type="dxa" w:w="2160"/>
          </w:tcPr>
          <w:p>
            <w:r>
              <w:rPr>
                <w:rFonts w:ascii="Calibri" w:hAnsi="Calibri"/>
                <w:sz w:val="22"/>
              </w:rPr>
              <w:t>ACGL: $201M; AXS: $80M; RNR: low cat activity in property cat</w:t>
            </w:r>
          </w:p>
        </w:tc>
        <w:tc>
          <w:tcPr>
            <w:tcW w:type="dxa" w:w="2160"/>
          </w:tcPr>
          <w:p>
            <w:r>
              <w:rPr>
                <w:rFonts w:ascii="Calibri" w:hAnsi="Calibri"/>
                <w:sz w:val="22"/>
              </w:rPr>
              <w:t>Moderate cat quarter; consistent with EG's ~91.98% combined ratio consensus</w:t>
            </w:r>
          </w:p>
        </w:tc>
        <w:tc>
          <w:tcPr>
            <w:tcW w:type="dxa" w:w="2160"/>
          </w:tcPr>
          <w:p>
            <w:r>
              <w:rPr>
                <w:rFonts w:ascii="Calibri" w:hAnsi="Calibri"/>
                <w:b/>
                <w:color w:val="30A46C"/>
                <w:sz w:val="22"/>
              </w:rPr>
              <w:t>Neutral-Positive</w:t>
            </w:r>
          </w:p>
        </w:tc>
      </w:tr>
      <w:tr>
        <w:tc>
          <w:tcPr>
            <w:tcW w:type="dxa" w:w="2160"/>
          </w:tcPr>
          <w:p>
            <w:r>
              <w:rPr>
                <w:rFonts w:ascii="Calibri" w:hAnsi="Calibri"/>
                <w:sz w:val="22"/>
              </w:rPr>
              <w:t>Investment Income</w:t>
            </w:r>
          </w:p>
        </w:tc>
        <w:tc>
          <w:tcPr>
            <w:tcW w:type="dxa" w:w="2160"/>
          </w:tcPr>
          <w:p>
            <w:r>
              <w:rPr>
                <w:rFonts w:ascii="Calibri" w:hAnsi="Calibri"/>
                <w:sz w:val="22"/>
              </w:rPr>
              <w:t>RNR NII at all-time high; ACGL growing on asset base; AXS slightly down</w:t>
            </w:r>
          </w:p>
        </w:tc>
        <w:tc>
          <w:tcPr>
            <w:tcW w:type="dxa" w:w="2160"/>
          </w:tcPr>
          <w:p>
            <w:r>
              <w:rPr>
                <w:rFonts w:ascii="Calibri" w:hAnsi="Calibri"/>
                <w:sz w:val="22"/>
              </w:rPr>
              <w:t>Fixed income NII supportive; alt. return normalization is the key EG variable</w:t>
            </w:r>
          </w:p>
        </w:tc>
        <w:tc>
          <w:tcPr>
            <w:tcW w:type="dxa" w:w="2160"/>
          </w:tcPr>
          <w:p>
            <w:r>
              <w:rPr>
                <w:rFonts w:ascii="Calibri" w:hAnsi="Calibri"/>
                <w:b/>
                <w:color w:val="30A46C"/>
                <w:sz w:val="22"/>
              </w:rPr>
              <w:t>Neutral-Positive</w:t>
            </w:r>
          </w:p>
        </w:tc>
      </w:tr>
      <w:tr>
        <w:tc>
          <w:tcPr>
            <w:tcW w:type="dxa" w:w="2160"/>
          </w:tcPr>
          <w:p>
            <w:r>
              <w:rPr>
                <w:rFonts w:ascii="Calibri" w:hAnsi="Calibri"/>
                <w:sz w:val="22"/>
              </w:rPr>
              <w:t>Capital Return</w:t>
            </w:r>
          </w:p>
        </w:tc>
        <w:tc>
          <w:tcPr>
            <w:tcW w:type="dxa" w:w="2160"/>
          </w:tcPr>
          <w:p>
            <w:r>
              <w:rPr>
                <w:rFonts w:ascii="Calibri" w:hAnsi="Calibri"/>
                <w:sz w:val="22"/>
              </w:rPr>
              <w:t>RNR: $350M buyback; ACGL: $1.2B buyback; AXS: $122M</w:t>
            </w:r>
          </w:p>
        </w:tc>
        <w:tc>
          <w:tcPr>
            <w:tcW w:type="dxa" w:w="2160"/>
          </w:tcPr>
          <w:p>
            <w:r>
              <w:rPr>
                <w:rFonts w:ascii="Calibri" w:hAnsi="Calibri"/>
                <w:sz w:val="22"/>
              </w:rPr>
              <w:t>EG's $300M/quarter floor is sector-consistent; capital return conviction high</w:t>
            </w:r>
          </w:p>
        </w:tc>
        <w:tc>
          <w:tcPr>
            <w:tcW w:type="dxa" w:w="2160"/>
          </w:tcPr>
          <w:p>
            <w:r>
              <w:rPr>
                <w:rFonts w:ascii="Calibri" w:hAnsi="Calibri"/>
                <w:b/>
                <w:color w:val="30A46C"/>
                <w:sz w:val="22"/>
              </w:rPr>
              <w:t>Positive</w:t>
            </w:r>
          </w:p>
        </w:tc>
      </w:tr>
      <w:tr>
        <w:tc>
          <w:tcPr>
            <w:tcW w:type="dxa" w:w="2160"/>
          </w:tcPr>
          <w:p>
            <w:r>
              <w:rPr>
                <w:rFonts w:ascii="Calibri" w:hAnsi="Calibri"/>
                <w:sz w:val="22"/>
              </w:rPr>
              <w:t>Middle East Conflict</w:t>
            </w:r>
          </w:p>
        </w:tc>
        <w:tc>
          <w:tcPr>
            <w:tcW w:type="dxa" w:w="2160"/>
          </w:tcPr>
          <w:p>
            <w:r>
              <w:rPr>
                <w:rFonts w:ascii="Calibri" w:hAnsi="Calibri"/>
                <w:sz w:val="22"/>
              </w:rPr>
              <w:t>AXS: $31M losses; RNR: monitoring; conflict returned to active phase</w:t>
            </w:r>
          </w:p>
        </w:tc>
        <w:tc>
          <w:tcPr>
            <w:tcW w:type="dxa" w:w="2160"/>
          </w:tcPr>
          <w:p>
            <w:r>
              <w:rPr>
                <w:rFonts w:ascii="Calibri" w:hAnsi="Calibri"/>
                <w:sz w:val="22"/>
              </w:rPr>
              <w:t>EG's Q1 $58M Iran provision may need revisiting if Q2 escalation occurred</w:t>
            </w:r>
          </w:p>
        </w:tc>
        <w:tc>
          <w:tcPr>
            <w:tcW w:type="dxa" w:w="2160"/>
          </w:tcPr>
          <w:p>
            <w:r>
              <w:rPr>
                <w:rFonts w:ascii="Calibri" w:hAnsi="Calibri"/>
                <w:b/>
                <w:color w:val="E5484D"/>
                <w:sz w:val="22"/>
              </w:rPr>
              <w:t>Negative Risk</w:t>
            </w:r>
          </w:p>
        </w:tc>
      </w:tr>
    </w:tbl>
    <w:p>
      <w:r>
        <w:rPr>
          <w:rFonts w:ascii="Calibri" w:hAnsi="Calibri"/>
          <w:color w:val="525866"/>
          <w:sz w:val="22"/>
        </w:rPr>
        <w:t>Sources: RNR Q2 2026 Earnings Transcript (July 23, 2026); ACGL Q2 2026 Earnings Release (July 28, 2026); AXS Q2 2026 Earnings Release (July 28,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open-market transaction was disclosed in the post-Q1 window — a discretionary sale by the EVP &amp; CEO of Global Wholesale &amp; Specialty. The absence of open-market buying by senior executives is notable given management's stated conviction that the stock is undervalued, though the $300M/quarter buyback floor is the primary capital return vehicle.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Jason Keen</w:t>
            </w:r>
          </w:p>
        </w:tc>
        <w:tc>
          <w:tcPr>
            <w:tcW w:type="dxa" w:w="1440"/>
          </w:tcPr>
          <w:p>
            <w:r>
              <w:rPr>
                <w:rFonts w:ascii="Calibri" w:hAnsi="Calibri"/>
                <w:sz w:val="22"/>
              </w:rPr>
              <w:t>EVP &amp; CEO, Global Wholesale &amp; Specialty Division</w:t>
            </w:r>
          </w:p>
        </w:tc>
        <w:tc>
          <w:tcPr>
            <w:tcW w:type="dxa" w:w="1440"/>
          </w:tcPr>
          <w:p>
            <w:r>
              <w:rPr>
                <w:rFonts w:ascii="Calibri" w:hAnsi="Calibri"/>
                <w:sz w:val="22"/>
              </w:rPr>
              <w:t>Open Market Sale</w:t>
            </w:r>
          </w:p>
        </w:tc>
        <w:tc>
          <w:tcPr>
            <w:tcW w:type="dxa" w:w="1440"/>
          </w:tcPr>
          <w:p>
            <w:r>
              <w:rPr>
                <w:rFonts w:ascii="Calibri" w:hAnsi="Calibri"/>
                <w:sz w:val="22"/>
              </w:rPr>
              <w:t>775 shares</w:t>
            </w:r>
          </w:p>
        </w:tc>
        <w:tc>
          <w:tcPr>
            <w:tcW w:type="dxa" w:w="1440"/>
          </w:tcPr>
          <w:p>
            <w:r>
              <w:rPr>
                <w:rFonts w:ascii="Calibri" w:hAnsi="Calibri"/>
                <w:sz w:val="22"/>
              </w:rPr>
              <w:t>May 7, 2026 (filed May 11, 2026)</w:t>
            </w:r>
          </w:p>
        </w:tc>
        <w:tc>
          <w:tcPr>
            <w:tcW w:type="dxa" w:w="1440"/>
          </w:tcPr>
          <w:p>
            <w:r>
              <w:rPr>
                <w:rFonts w:ascii="Calibri" w:hAnsi="Calibri"/>
                <w:sz w:val="22"/>
              </w:rPr>
              <w:t>Discretionary sale; no 10b5-1 plan indicated; 8,170 shares retained post-transaction</w:t>
            </w:r>
          </w:p>
        </w:tc>
      </w:tr>
    </w:tbl>
    <w:p>
      <w:r>
        <w:rPr>
          <w:rFonts w:ascii="Calibri" w:hAnsi="Calibri"/>
          <w:color w:val="525866"/>
          <w:sz w:val="22"/>
        </w:rPr>
        <w:t>The sole disclosed transaction is a small discretionary sale by Jason Keen (EVP &amp; CEO of Global Wholesale &amp; Specialty) of 775 shares on May 7, 2026, at approximately $350/share (implied ~$271K value), retaining 8,170 shares. The sale is not on a 10b5-1 plan and represents a modest reduction in his position. No open-market purchases were disclosed by any insider in the post-Q1 window, which is somewhat inconsistent with management's stated view that the stock is undervalued — though the company's aggressive corporate buyback program ($331M in Q1, $100M in April) is the primary mechanism for expressing that conviction. No clustered selling or unusual transaction patterns are present. Source: Insider Transaction Data (SEC Form 4 Filings).</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Operating EPS, Gross Premium Written, Combined Ratio, Net Investment Income, Book Value Per Share (consensus and actuals). Source: https://insights.visiblealpha.com/mex/EG_US/NMV/IS and /BS.</w:t>
      </w:r>
    </w:p>
    <w:p>
      <w:pPr>
        <w:pStyle w:val="ListBullet"/>
        <w:ind w:left="360" w:hanging="360"/>
      </w:pPr>
      <w:r>
        <w:rPr>
          <w:rFonts w:ascii="Calibri" w:hAnsi="Calibri"/>
          <w:b/>
          <w:color w:val="525866"/>
          <w:sz w:val="22"/>
        </w:rPr>
        <w:t>Stock Price Data</w:t>
      </w:r>
      <w:r>
        <w:rPr>
          <w:rFonts w:ascii="Calibri" w:hAnsi="Calibri"/>
          <w:color w:val="525866"/>
          <w:sz w:val="22"/>
        </w:rPr>
        <w:t xml:space="preserve"> — EG, KIE, SPY daily closing prices April 29 – July 29,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for EG, April 29 – July 28, 2026. Source: SEC EDGAR (https://www.sec.gov/).</w:t>
      </w:r>
    </w:p>
    <w:p>
      <w:pPr>
        <w:pStyle w:val="ListBullet"/>
        <w:ind w:left="360" w:hanging="360"/>
      </w:pPr>
      <w:r>
        <w:rPr>
          <w:rFonts w:ascii="Calibri" w:hAnsi="Calibri"/>
          <w:b/>
          <w:color w:val="525866"/>
          <w:sz w:val="22"/>
        </w:rPr>
        <w:t>EG Q1 2026 Earnings Release &amp; Transcript</w:t>
      </w:r>
      <w:r>
        <w:rPr>
          <w:rFonts w:ascii="Calibri" w:hAnsi="Calibri"/>
          <w:color w:val="525866"/>
          <w:sz w:val="22"/>
        </w:rPr>
        <w:t xml:space="preserve"> — April 29–30, 2026. Source: Everest Group Ltd. / SEC EDGAR.</w:t>
      </w:r>
    </w:p>
    <w:p>
      <w:pPr>
        <w:pStyle w:val="ListBullet"/>
        <w:ind w:left="360" w:hanging="360"/>
      </w:pPr>
      <w:r>
        <w:rPr>
          <w:rFonts w:ascii="Calibri" w:hAnsi="Calibri"/>
          <w:b/>
          <w:color w:val="525866"/>
          <w:sz w:val="22"/>
        </w:rPr>
        <w:t>EG 8-K Filings</w:t>
      </w:r>
      <w:r>
        <w:rPr>
          <w:rFonts w:ascii="Calibri" w:hAnsi="Calibri"/>
          <w:color w:val="525866"/>
          <w:sz w:val="22"/>
        </w:rPr>
        <w:t xml:space="preserve"> — May 15, 2026 (shareholder vote); June 3, 2026 (segment recast). Source: SEC EDGAR.</w:t>
      </w:r>
    </w:p>
    <w:p>
      <w:pPr>
        <w:pStyle w:val="ListBullet"/>
        <w:ind w:left="360" w:hanging="360"/>
      </w:pPr>
      <w:r>
        <w:rPr>
          <w:rFonts w:ascii="Calibri" w:hAnsi="Calibri"/>
          <w:b/>
          <w:color w:val="525866"/>
          <w:sz w:val="22"/>
        </w:rPr>
        <w:t>RNR Q2 2026 Earnings Release &amp; Transcript</w:t>
      </w:r>
      <w:r>
        <w:rPr>
          <w:rFonts w:ascii="Calibri" w:hAnsi="Calibri"/>
          <w:color w:val="525866"/>
          <w:sz w:val="22"/>
        </w:rPr>
        <w:t xml:space="preserve"> — July 22–23, 2026. Source: RenaissanceRe Holdings Ltd.</w:t>
      </w:r>
    </w:p>
    <w:p>
      <w:pPr>
        <w:pStyle w:val="ListBullet"/>
        <w:ind w:left="360" w:hanging="360"/>
      </w:pPr>
      <w:r>
        <w:rPr>
          <w:rFonts w:ascii="Calibri" w:hAnsi="Calibri"/>
          <w:b/>
          <w:color w:val="525866"/>
          <w:sz w:val="22"/>
        </w:rPr>
        <w:t>ACGL Q2 2026 Earnings Release</w:t>
      </w:r>
      <w:r>
        <w:rPr>
          <w:rFonts w:ascii="Calibri" w:hAnsi="Calibri"/>
          <w:color w:val="525866"/>
          <w:sz w:val="22"/>
        </w:rPr>
        <w:t xml:space="preserve"> — July 28, 2026. Source: Arch Capital Group Ltd.</w:t>
      </w:r>
    </w:p>
    <w:p>
      <w:pPr>
        <w:pStyle w:val="ListBullet"/>
        <w:ind w:left="360" w:hanging="360"/>
      </w:pPr>
      <w:r>
        <w:rPr>
          <w:rFonts w:ascii="Calibri" w:hAnsi="Calibri"/>
          <w:b/>
          <w:color w:val="525866"/>
          <w:sz w:val="22"/>
        </w:rPr>
        <w:t>AXS Q2 2026 Earnings Release</w:t>
      </w:r>
      <w:r>
        <w:rPr>
          <w:rFonts w:ascii="Calibri" w:hAnsi="Calibri"/>
          <w:color w:val="525866"/>
          <w:sz w:val="22"/>
        </w:rPr>
        <w:t xml:space="preserve"> — July 28, 2026. Source: AXIS Capital Holdings Limited.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