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ix-earnings-predictions--2026-07-30"/>
    <w:p>
      <w:pPr>
        <w:pStyle w:val="Heading1"/>
      </w:pPr>
      <w:r>
        <w:t xml:space="preserve">EIX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1.05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Eaton Fire loss estimate / new reserve accrual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</m:t>
              </m:r>
              <m:r>
                <m:t>n</m:t>
              </m:r>
              <m:r>
                <m:t>e</m:t>
              </m:r>
              <m:r>
                <m:t>w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b</m:t>
              </m:r>
              <m:r>
                <m:t>l</m:t>
              </m:r>
              <m:r>
                <m:t>e</m:t>
              </m:r>
              <m:r>
                <m:t>r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 (no number expected)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WRCP claims paid (cumulative, Eaton)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250</m:t>
              </m:r>
              <m:r>
                <m:t>M</m:t>
              </m:r>
              <m:r>
                <m:t>p</m:t>
              </m:r>
              <m:r>
                <m:t>a</m:t>
              </m:r>
              <m:r>
                <m:t>i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100M prior-quarter run-rate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reaffirmed</w:t>
            </w:r>
            <w:r>
              <w:t xml:space="preserve"> </w:t>
            </w:r>
            <m:oMath>
              <m:r>
                <m:t>5.90</m:t>
              </m:r>
              <m:r>
                <m:rPr>
                  <m:sty m:val="p"/>
                </m:rPr>
                <m:t>–</m:t>
              </m:r>
            </m:oMath>
            <w:r>
              <w:t xml:space="preserve">6.20 vs. cons ~$6.05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2028 core EPS target / 5–7%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6.74</m:t>
              </m:r>
              <m:r>
                <m:rPr>
                  <m:sty m:val="p"/>
                </m:rPr>
                <m:t>–</m:t>
              </m:r>
            </m:oMath>
            <w:r>
              <w:t xml:space="preserve">7.14 vs. cons ~$6.90 (FY2028)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FFO-to-debt &amp; no-new-equity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15–17% FFO/debt, $0 equity vs. cons 15–17% (thru 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 wildfire/affordability legislation (Aug 31 deadline)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resist ~$373M Edison share vs. $3.9B fund ask (2026 session)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The print itself is a non-event: a modest seasonal-Q2 core EPS beat with reaffirmed (not raised) FY26 guide provides no upward out-period revisions, so the beat does not lift the numbers. With EIX up ~30% YTD to ~$79 and a lot of the 'legislation passes / Eaton manageable' outcome already priced, the bar is high. Absence of an Eaton loss estimate plus lingering binary risk into the Aug 31 legislative window skews the 5-day drift lower as any relief pop fades back toward pre-print levels.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2026-07-29T19:15:11Z</dcterms:created>
  <dcterms:modified xsi:type="dcterms:W3CDTF">2026-07-29T19:15:11Z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