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EIX (Edison International) before writing the preview. Let me start by gathering recent filings, transcripts, and news.Let me read the Q1 2026 materials and search for recent news over a broader window.Let me read the Q1 2026 earnings call transcript and gather broader news on the key wildfire overhang (Eaton Fire).Let me gather recent news via web search, stock price performance, and any recent public news documents on the key catalysts.Let me search the web for the latest developments on the California wildfire legislation and Eaton Fire, plus analyst expectations for the quarter.Let me do a couple more targeted searches on the latest July 2026 developments and Q2 consensus.I now have enough to write a well-grounded preview. Let me compile it.</w:t>
      </w:r>
    </w:p>
    <w:bookmarkStart w:id="19" w:name="Xe36cb07854920b397bf52400518401963ab0885"/>
    <w:p>
      <w:pPr>
        <w:pStyle w:val="Heading1"/>
      </w:pPr>
      <w:r>
        <w:t xml:space="preserve">Edison International (EIX) — Q2 2026 Earnings Preview</w:t>
      </w:r>
    </w:p>
    <w:bookmarkStart w:id="9" w:name="X07f338638880be002ac799d983e093b30c7c0e1"/>
    <w:p>
      <w:pPr>
        <w:pStyle w:val="Heading3"/>
      </w:pPr>
      <w:r>
        <w:t xml:space="preserve">Report: Thursday, July 30, 2026 (call 1:30 p.m. PT / 4:30 p.m. ET) · 2026Q2 Earnings Call</w:t>
      </w:r>
    </w:p>
    <w:p>
      <w:r>
        <w:pict>
          <v:rect style="width:0;height:1.5pt" o:hralign="center" o:hrstd="t" o:hr="t"/>
        </w:pict>
      </w:r>
    </w:p>
    <w:bookmarkEnd w:id="9"/>
    <w:bookmarkStart w:id="10" w:name="the-one-sentence-setup"/>
    <w:p>
      <w:pPr>
        <w:pStyle w:val="Heading2"/>
      </w:pPr>
      <w:r>
        <w:t xml:space="preserve">The one-sentence setup</w:t>
      </w:r>
    </w:p>
    <w:p>
      <w:pPr>
        <w:pStyle w:val="FirstParagraph"/>
      </w:pPr>
      <w:r>
        <w:t xml:space="preserve">EIX heads into this print as a "story stock" masquerading as a regulated utility: the reported EPS number will barely matter next to the two things investors actually care about —</w:t>
      </w:r>
      <w:r>
        <w:t xml:space="preserve"> </w:t>
      </w:r>
      <w:r>
        <w:rPr>
          <w:b/>
          <w:bCs/>
        </w:rPr>
        <w:t xml:space="preserve">the ultimate Eaton Fire liability</w:t>
      </w:r>
      <w:r>
        <w:t xml:space="preserve"> </w:t>
      </w:r>
      <w:r>
        <w:t xml:space="preserve">and</w:t>
      </w:r>
      <w:r>
        <w:t xml:space="preserve"> </w:t>
      </w:r>
      <w:r>
        <w:rPr>
          <w:b/>
          <w:bCs/>
        </w:rPr>
        <w:t xml:space="preserve">whether California passes a wildfire-liability/affordability bill before the legislature adjourns August 31.</w:t>
      </w:r>
      <w:r>
        <w:t xml:space="preserve"> </w:t>
      </w:r>
      <w:r>
        <w:t xml:space="preserve">The quarter is essentially a status check on those overhangs, layered on top of a business whose regulated fundamentals are, by management's framing, unusually "clean" right now.</w:t>
      </w:r>
    </w:p>
    <w:p>
      <w:r>
        <w:pict>
          <v:rect style="width:0;height:1.5pt" o:hralign="center" o:hrstd="t" o:hr="t"/>
        </w:pict>
      </w:r>
    </w:p>
    <w:bookmarkEnd w:id="10"/>
    <w:bookmarkStart w:id="11" w:name="X278898a43578c2b7cf501804f77486335476457"/>
    <w:p>
      <w:pPr>
        <w:pStyle w:val="Heading2"/>
      </w:pPr>
      <w:r>
        <w:t xml:space="preserve">1. What the number should look like</w:t>
      </w:r>
    </w:p>
    <w:p>
      <w:pPr>
        <w:pStyle w:val="Compact"/>
        <w:numPr>
          <w:ilvl w:val="0"/>
          <w:numId w:val="1001"/>
        </w:numPr>
      </w:pPr>
      <w:r>
        <w:rPr>
          <w:b/>
          <w:bCs/>
        </w:rPr>
        <w:t xml:space="preserve">Consensus:</w:t>
      </w:r>
      <w:r>
        <w:t xml:space="preserve"> </w:t>
      </w:r>
      <w:r>
        <w:t xml:space="preserve">Street is looking for roughly</w:t>
      </w:r>
      <w:r>
        <w:t xml:space="preserve"> </w:t>
      </w:r>
      <w:r>
        <w:rPr>
          <w:b/>
          <w:bCs/>
        </w:rPr>
        <w:t xml:space="preserve">~$1.02 diluted EPS</w:t>
      </w:r>
      <w:r>
        <w:t xml:space="preserve">, up ~5% from the year-ago quarter, per pre-print previews. (Note: sources vary between core/GAAP and diluted/basic, so treat the point estimate loosely — Q2 is seasonally one of EIX's lighter quarters.)</w:t>
      </w:r>
    </w:p>
    <w:p>
      <w:pPr>
        <w:pStyle w:val="Compact"/>
        <w:numPr>
          <w:ilvl w:val="0"/>
          <w:numId w:val="1001"/>
        </w:numPr>
      </w:pPr>
      <w:r>
        <w:rPr>
          <w:b/>
          <w:bCs/>
        </w:rPr>
        <w:t xml:space="preserve">Recent track record:</w:t>
      </w:r>
      <w:r>
        <w:t xml:space="preserve"> </w:t>
      </w:r>
      <w:r>
        <w:t xml:space="preserve">EIX beat in Q1 2026 (</w:t>
      </w:r>
      <w:r>
        <w:rPr>
          <w:b/>
          <w:bCs/>
        </w:rPr>
        <w:t xml:space="preserve">core</w:t>
      </w:r>
      <w:r>
        <w:rPr>
          <w:b/>
          <w:bCs/>
        </w:rPr>
        <w:t xml:space="preserve"> </w:t>
      </w:r>
      <m:oMath>
        <m:r>
          <m:t>1.42</m:t>
        </m:r>
        <m:r>
          <m:t>v</m:t>
        </m:r>
        <m:r>
          <m:t>s</m:t>
        </m:r>
        <m:r>
          <m:rPr>
            <m:sty m:val="p"/>
          </m:rPr>
          <m:t>.</m:t>
        </m:r>
        <m:r>
          <m:t> </m:t>
        </m:r>
      </m:oMath>
      <w:r>
        <w:rPr>
          <w:b/>
          <w:bCs/>
        </w:rPr>
        <w:t xml:space="preserve">1.32 expected</w:t>
      </w:r>
      <w:r>
        <w:t xml:space="preserve">) and has topped EPS estimates in each of the last four quarters, so a modest headline beat would be in-character.</w:t>
      </w:r>
    </w:p>
    <w:p>
      <w:pPr>
        <w:pStyle w:val="Compact"/>
        <w:numPr>
          <w:ilvl w:val="0"/>
          <w:numId w:val="1001"/>
        </w:numPr>
      </w:pPr>
      <w:r>
        <w:rPr>
          <w:b/>
          <w:bCs/>
        </w:rPr>
        <w:t xml:space="preserve">Full-year guide (affirmed in Q1):</w:t>
      </w:r>
      <w:r>
        <w:t xml:space="preserve"> </w:t>
      </w:r>
      <w:r>
        <w:rPr>
          <w:b/>
          <w:bCs/>
        </w:rPr>
        <w:t xml:space="preserve">2026 core EPS</w:t>
      </w:r>
      <w:r>
        <w:rPr>
          <w:b/>
          <w:bCs/>
        </w:rPr>
        <w:t xml:space="preserve"> </w:t>
      </w:r>
      <m:oMath>
        <m:r>
          <m:t>5.90</m:t>
        </m:r>
        <m:r>
          <m:rPr>
            <m:sty m:val="p"/>
          </m:rPr>
          <m:t>–</m:t>
        </m:r>
      </m:oMath>
      <w:r>
        <w:rPr>
          <w:b/>
          <w:bCs/>
        </w:rPr>
        <w:t xml:space="preserve">6.20.</w:t>
      </w:r>
      <w:r>
        <w:t xml:space="preserve"> </w:t>
      </w:r>
      <w:r>
        <w:t xml:space="preserve">Watch for a reaffirmation — with Q1 core already at $1.42 and no major open rate proceedings, guidance risk this year is low. Longer-dated targets to reconcile against:</w:t>
      </w:r>
      <w:r>
        <w:t xml:space="preserve"> </w:t>
      </w:r>
      <w:r>
        <w:rPr>
          <w:b/>
          <w:bCs/>
        </w:rPr>
        <w:t xml:space="preserve">2027</w:t>
      </w:r>
      <w:r>
        <w:rPr>
          <w:b/>
          <w:bCs/>
        </w:rPr>
        <w:t xml:space="preserve"> </w:t>
      </w:r>
      <m:oMath>
        <m:r>
          <m:t>6.25</m:t>
        </m:r>
        <m:r>
          <m:rPr>
            <m:sty m:val="p"/>
          </m:rPr>
          <m:t>–</m:t>
        </m:r>
      </m:oMath>
      <w:r>
        <w:rPr>
          <w:b/>
          <w:bCs/>
        </w:rPr>
        <w:t xml:space="preserve">6.65, 2028</w:t>
      </w:r>
      <w:r>
        <w:rPr>
          <w:b/>
          <w:bCs/>
        </w:rPr>
        <w:t xml:space="preserve"> </w:t>
      </w:r>
      <m:oMath>
        <m:r>
          <m:t>6.74</m:t>
        </m:r>
        <m:r>
          <m:rPr>
            <m:sty m:val="p"/>
          </m:rPr>
          <m:t>–</m:t>
        </m:r>
      </m:oMath>
      <w:r>
        <w:rPr>
          <w:b/>
          <w:bCs/>
        </w:rPr>
        <w:t xml:space="preserve">7.14</w:t>
      </w:r>
      <w:r>
        <w:t xml:space="preserve">, and a</w:t>
      </w:r>
      <w:r>
        <w:t xml:space="preserve"> </w:t>
      </w:r>
      <w:r>
        <w:rPr>
          <w:b/>
          <w:bCs/>
        </w:rPr>
        <w:t xml:space="preserve">5–7% core EPS CAGR off a $5.84 2025 base through 2030, with no new equity needed through 2030.</w:t>
      </w:r>
    </w:p>
    <w:p>
      <w:pPr>
        <w:pStyle w:val="FirstParagraph"/>
      </w:pPr>
      <w:r>
        <w:rPr>
          <w:b/>
          <w:bCs/>
        </w:rPr>
        <w:t xml:space="preserve">Bottom line on the print itself:</w:t>
      </w:r>
      <w:r>
        <w:t xml:space="preserve"> </w:t>
      </w:r>
      <w:r>
        <w:t xml:space="preserve">an in-line-to-slightly-better core number with reaffirmed guidance is the base case. The stock won't trade on it.</w:t>
      </w:r>
    </w:p>
    <w:p>
      <w:r>
        <w:pict>
          <v:rect style="width:0;height:1.5pt" o:hralign="center" o:hrstd="t" o:hr="t"/>
        </w:pict>
      </w:r>
    </w:p>
    <w:bookmarkEnd w:id="11"/>
    <w:bookmarkStart w:id="12" w:name="X17908116d09018ec2731f4425379150622556cf"/>
    <w:p>
      <w:pPr>
        <w:pStyle w:val="Heading2"/>
      </w:pPr>
      <w:r>
        <w:t xml:space="preserve">2. The dominant overhang: Eaton Fire liability</w:t>
      </w:r>
    </w:p>
    <w:p>
      <w:pPr>
        <w:pStyle w:val="FirstParagraph"/>
      </w:pPr>
      <w:r>
        <w:t xml:space="preserve">The January 2025 Eaton Fire (Altadena) is the single biggest EIX variable, and SCE has already acknowledged its equipment was "likely" the cause. Key points going in:</w:t>
      </w:r>
    </w:p>
    <w:p>
      <w:pPr>
        <w:pStyle w:val="Compact"/>
        <w:numPr>
          <w:ilvl w:val="0"/>
          <w:numId w:val="1002"/>
        </w:numPr>
      </w:pPr>
      <w:r>
        <w:rPr>
          <w:b/>
          <w:bCs/>
        </w:rPr>
        <w:t xml:space="preserve">Still no loss estimate.</w:t>
      </w:r>
      <w:r>
        <w:t xml:space="preserve"> </w:t>
      </w:r>
      <w:r>
        <w:t xml:space="preserve">Management has repeatedly declined to give even a low end of an estimable range, citing the variety and unpredictability of claim types (lessons from Thomas/Koenigstein/Montecito and Woolsey). Don't expect a number Thursday — but</w:t>
      </w:r>
      <w:r>
        <w:t xml:space="preserve"> </w:t>
      </w:r>
      <w:r>
        <w:rPr>
          <w:i/>
          <w:iCs/>
        </w:rPr>
        <w:t xml:space="preserve">any</w:t>
      </w:r>
      <w:r>
        <w:t xml:space="preserve"> </w:t>
      </w:r>
      <w:r>
        <w:t xml:space="preserve">framing of magnitude, reserve accrual, or timeline would be highly market-moving.</w:t>
      </w:r>
    </w:p>
    <w:p>
      <w:pPr>
        <w:pStyle w:val="Compact"/>
        <w:numPr>
          <w:ilvl w:val="0"/>
          <w:numId w:val="1002"/>
        </w:numPr>
      </w:pPr>
      <w:r>
        <w:rPr>
          <w:b/>
          <w:bCs/>
        </w:rPr>
        <w:t xml:space="preserve">Wildfire Recovery Compensation Program (WRCP) pace</w:t>
      </w:r>
      <w:r>
        <w:t xml:space="preserve"> </w:t>
      </w:r>
      <w:r>
        <w:t xml:space="preserve">— the metric to watch. As of the Q1 update:</w:t>
      </w:r>
      <w:r>
        <w:t xml:space="preserve"> </w:t>
      </w:r>
      <w:r>
        <w:rPr>
          <w:b/>
          <w:bCs/>
        </w:rPr>
        <w:t xml:space="preserve">~1,500 offers totaling &gt;</w:t>
      </w:r>
      <m:oMath>
        <m:r>
          <m:t>500</m:t>
        </m:r>
        <m:r>
          <m:t>M</m:t>
        </m:r>
        <m:r>
          <m:rPr>
            <m:sty m:val="p"/>
          </m:rPr>
          <m:t>,</m:t>
        </m:r>
        <m:r>
          <m:t> </m:t>
        </m:r>
        <m:r>
          <m:t>735</m:t>
        </m:r>
        <m:r>
          <m:t>c</m:t>
        </m:r>
        <m:r>
          <m:t>l</m:t>
        </m:r>
        <m:r>
          <m:t>a</m:t>
        </m:r>
        <m:r>
          <m:t>i</m:t>
        </m:r>
        <m:r>
          <m:t>m</m:t>
        </m:r>
        <m:r>
          <m:t>a</m:t>
        </m:r>
        <m:r>
          <m:t>n</m:t>
        </m:r>
        <m:r>
          <m:t>t</m:t>
        </m:r>
        <m:r>
          <m:t>s</m:t>
        </m:r>
        <m:r>
          <m:t>p</m:t>
        </m:r>
        <m:r>
          <m:t>a</m:t>
        </m:r>
        <m:r>
          <m:t>i</m:t>
        </m:r>
        <m:r>
          <m:t>d</m:t>
        </m:r>
        <m:r>
          <m:rPr>
            <m:sty m:val="p"/>
          </m:rPr>
          <m:t>&gt;</m:t>
        </m:r>
      </m:oMath>
      <w:r>
        <w:rPr>
          <w:b/>
          <w:bCs/>
        </w:rPr>
        <w:t xml:space="preserve">100M</w:t>
      </w:r>
      <w:r>
        <w:t xml:space="preserve">, against ~3,100+ claims filed, ~18,000 eligible properties, and ~30,000 potential plaintiffs. An updated tally will help investors gauge the eventual scale.</w:t>
      </w:r>
    </w:p>
    <w:p>
      <w:pPr>
        <w:pStyle w:val="Compact"/>
        <w:numPr>
          <w:ilvl w:val="0"/>
          <w:numId w:val="1002"/>
        </w:numPr>
      </w:pPr>
      <w:r>
        <w:rPr>
          <w:b/>
          <w:bCs/>
        </w:rPr>
        <w:t xml:space="preserve">Statute of limitations runs to January 2028</w:t>
      </w:r>
      <w:r>
        <w:t xml:space="preserve">, so claim visibility builds slowly — a full estimate is likely quarters away.</w:t>
      </w:r>
    </w:p>
    <w:p>
      <w:pPr>
        <w:pStyle w:val="Compact"/>
        <w:numPr>
          <w:ilvl w:val="0"/>
          <w:numId w:val="1002"/>
        </w:numPr>
      </w:pPr>
      <w:r>
        <w:rPr>
          <w:b/>
          <w:bCs/>
        </w:rPr>
        <w:t xml:space="preserve">New legal wrinkle (late July):</w:t>
      </w:r>
      <w:r>
        <w:t xml:space="preserve"> </w:t>
      </w:r>
      <w:r>
        <w:t xml:space="preserve">In a court filing, SCE argued that the transmission tower alleged to be the ignition point had been</w:t>
      </w:r>
      <w:r>
        <w:t xml:space="preserve"> </w:t>
      </w:r>
      <w:r>
        <w:rPr>
          <w:b/>
          <w:bCs/>
        </w:rPr>
        <w:t xml:space="preserve">idle since 1971</w:t>
      </w:r>
      <w:r>
        <w:t xml:space="preserve">, and therefore should not qualify as a "public improvement" subject to California's strict</w:t>
      </w:r>
      <w:r>
        <w:t xml:space="preserve"> </w:t>
      </w:r>
      <w:r>
        <w:rPr>
          <w:b/>
          <w:bCs/>
        </w:rPr>
        <w:t xml:space="preserve">inverse condemnation</w:t>
      </w:r>
      <w:r>
        <w:t xml:space="preserve"> </w:t>
      </w:r>
      <w:r>
        <w:t xml:space="preserve">liability. This is a potentially important defense that could reduce the no-fault liability exposure — expect analyst questions on the strategy and its implications.</w:t>
      </w:r>
    </w:p>
    <w:p>
      <w:pPr>
        <w:pStyle w:val="Compact"/>
        <w:numPr>
          <w:ilvl w:val="0"/>
          <w:numId w:val="1002"/>
        </w:numPr>
      </w:pPr>
      <w:r>
        <w:rPr>
          <w:b/>
          <w:bCs/>
        </w:rPr>
        <w:t xml:space="preserve">CAL FIRE's formal cause determination</w:t>
      </w:r>
      <w:r>
        <w:t xml:space="preserve"> </w:t>
      </w:r>
      <w:r>
        <w:t xml:space="preserve">is still pending (expected sometime in 2026) and will be the pivotal piece of evidence in the litigation. Any signal on timing matters.</w:t>
      </w:r>
    </w:p>
    <w:p>
      <w:r>
        <w:pict>
          <v:rect style="width:0;height:1.5pt" o:hralign="center" o:hrstd="t" o:hr="t"/>
        </w:pict>
      </w:r>
    </w:p>
    <w:bookmarkEnd w:id="12"/>
    <w:bookmarkStart w:id="13" w:name="Xd886f83661d5c9514fed61db106a1891614f746"/>
    <w:p>
      <w:pPr>
        <w:pStyle w:val="Heading2"/>
      </w:pPr>
      <w:r>
        <w:t xml:space="preserve">3. The catalyst clock: California legislation (deadline Aug 31)</w:t>
      </w:r>
    </w:p>
    <w:p>
      <w:pPr>
        <w:pStyle w:val="FirstParagraph"/>
      </w:pPr>
      <w:r>
        <w:t xml:space="preserve">This is the most time-sensitive item and the reason the stock has re-rated. Recap:</w:t>
      </w:r>
    </w:p>
    <w:p>
      <w:pPr>
        <w:pStyle w:val="Compact"/>
        <w:numPr>
          <w:ilvl w:val="0"/>
          <w:numId w:val="1003"/>
        </w:numPr>
      </w:pPr>
      <w:r>
        <w:rPr>
          <w:b/>
          <w:bCs/>
        </w:rPr>
        <w:t xml:space="preserve">SB 254 (signed Sept. 2025)</w:t>
      </w:r>
      <w:r>
        <w:t xml:space="preserve"> </w:t>
      </w:r>
      <w:r>
        <w:t xml:space="preserve">already extended the AB 1054 Wildfire Fund via a "Continuation Account" (potentially +10 years to 2045), clarified the prudency standard, and set the liability cap by year of ignition. It also authorized the fund administrator to request</w:t>
      </w:r>
      <w:r>
        <w:t xml:space="preserve"> </w:t>
      </w:r>
      <w:r>
        <w:rPr>
          <w:b/>
          <w:bCs/>
        </w:rPr>
        <w:t xml:space="preserve">up to</w:t>
      </w:r>
      <w:r>
        <w:rPr>
          <w:b/>
          <w:bCs/>
        </w:rPr>
        <w:t xml:space="preserve"> </w:t>
      </w:r>
      <m:oMath>
        <m:r>
          <m:t>3.9</m:t>
        </m:r>
        <m:r>
          <m:t>B</m:t>
        </m:r>
        <m:r>
          <m:t>o</m:t>
        </m:r>
        <m:r>
          <m:t>f</m:t>
        </m:r>
        <m:r>
          <m:t>a</m:t>
        </m:r>
        <m:r>
          <m:t>d</m:t>
        </m:r>
        <m:r>
          <m:t>d</m:t>
        </m:r>
        <m:r>
          <m:t>i</m:t>
        </m:r>
        <m:r>
          <m:t>t</m:t>
        </m:r>
        <m:r>
          <m:t>i</m:t>
        </m:r>
        <m:r>
          <m:t>o</m:t>
        </m:r>
        <m:r>
          <m:t>n</m:t>
        </m:r>
        <m:r>
          <m:t>a</m:t>
        </m:r>
        <m:r>
          <m:t>l</m:t>
        </m:r>
        <m:r>
          <m:t>u</m:t>
        </m:r>
        <m:r>
          <m:t>t</m:t>
        </m:r>
        <m:r>
          <m:t>i</m:t>
        </m:r>
        <m:r>
          <m:t>l</m:t>
        </m:r>
        <m:r>
          <m:t>i</m:t>
        </m:r>
        <m:r>
          <m:t>t</m:t>
        </m:r>
        <m:r>
          <m:t>y</m:t>
        </m:r>
        <m:r>
          <m:t>c</m:t>
        </m:r>
        <m:r>
          <m:t>o</m:t>
        </m:r>
        <m:r>
          <m:t>n</m:t>
        </m:r>
        <m:r>
          <m:t>t</m:t>
        </m:r>
        <m:r>
          <m:t>r</m:t>
        </m:r>
        <m:r>
          <m:t>i</m:t>
        </m:r>
        <m:r>
          <m:t>b</m:t>
        </m:r>
        <m:r>
          <m:t>u</m:t>
        </m:r>
        <m:r>
          <m:t>t</m:t>
        </m:r>
        <m:r>
          <m:t>i</m:t>
        </m:r>
        <m:r>
          <m:t>o</m:t>
        </m:r>
        <m:r>
          <m:t>n</m:t>
        </m:r>
        <m:r>
          <m:t>s</m:t>
        </m:r>
        <m:r>
          <m:rPr>
            <m:sty m:val="p"/>
          </m:rPr>
          <m:t>(</m:t>
        </m:r>
        <m:r>
          <m:t>E</m:t>
        </m:r>
        <m:r>
          <m:t>d</m:t>
        </m:r>
        <m:r>
          <m:t>i</m:t>
        </m:r>
        <m:r>
          <m:t>s</m:t>
        </m:r>
        <m:r>
          <m:t>o</m:t>
        </m:r>
        <m:sSup>
          <m:e>
            <m:r>
              <m:t>n</m:t>
            </m:r>
          </m:e>
          <m:sup>
            <m:r>
              <m:rPr>
                <m:sty m:val="p"/>
              </m:rPr>
              <m:t>′</m:t>
            </m:r>
          </m:sup>
        </m:sSup>
        <m:r>
          <m:t>s</m:t>
        </m:r>
        <m:r>
          <m:t>s</m:t>
        </m:r>
        <m:r>
          <m:t>h</m:t>
        </m:r>
        <m:r>
          <m:t>a</m:t>
        </m:r>
        <m:r>
          <m:t>r</m:t>
        </m:r>
        <m:r>
          <m:t>e</m:t>
        </m:r>
        <m:r>
          <m:t> </m:t>
        </m:r>
      </m:oMath>
      <w:r>
        <w:rPr>
          <w:b/>
          <w:bCs/>
        </w:rPr>
        <w:t xml:space="preserve">373M).</w:t>
      </w:r>
    </w:p>
    <w:p>
      <w:pPr>
        <w:pStyle w:val="Compact"/>
        <w:numPr>
          <w:ilvl w:val="0"/>
          <w:numId w:val="1003"/>
        </w:numPr>
      </w:pPr>
      <w:r>
        <w:rPr>
          <w:b/>
          <w:bCs/>
        </w:rPr>
        <w:t xml:space="preserve">The 2026 session is the live catalyst.</w:t>
      </w:r>
      <w:r>
        <w:t xml:space="preserve"> </w:t>
      </w:r>
      <w:r>
        <w:t xml:space="preserve">The</w:t>
      </w:r>
      <w:r>
        <w:t xml:space="preserve"> </w:t>
      </w:r>
      <w:r>
        <w:rPr>
          <w:b/>
          <w:bCs/>
        </w:rPr>
        <w:t xml:space="preserve">CEA's April 2026 SB 254 study</w:t>
      </w:r>
      <w:r>
        <w:t xml:space="preserve"> </w:t>
      </w:r>
      <w:r>
        <w:t xml:space="preserve">laid out reform pathways; the</w:t>
      </w:r>
      <w:r>
        <w:t xml:space="preserve"> </w:t>
      </w:r>
      <w:r>
        <w:rPr>
          <w:b/>
          <w:bCs/>
        </w:rPr>
        <w:t xml:space="preserve">Newsom administration is now pushing a wildfire-liability/affordability bill</w:t>
      </w:r>
      <w:r>
        <w:t xml:space="preserve"> </w:t>
      </w:r>
      <w:r>
        <w:t xml:space="preserve">in the session's final month. Management flagged that</w:t>
      </w:r>
      <w:r>
        <w:t xml:space="preserve"> </w:t>
      </w:r>
      <w:r>
        <w:rPr>
          <w:b/>
          <w:bCs/>
        </w:rPr>
        <w:t xml:space="preserve">bills must be in print by ~Aug. 28 and the session ends Aug. 31.</w:t>
      </w:r>
    </w:p>
    <w:p>
      <w:pPr>
        <w:pStyle w:val="Compact"/>
        <w:numPr>
          <w:ilvl w:val="0"/>
          <w:numId w:val="1003"/>
        </w:numPr>
      </w:pPr>
      <w:r>
        <w:rPr>
          <w:b/>
          <w:bCs/>
        </w:rPr>
        <w:t xml:space="preserve">Why it matters:</w:t>
      </w:r>
      <w:r>
        <w:t xml:space="preserve"> </w:t>
      </w:r>
      <w:r>
        <w:t xml:space="preserve">Pizarro has warned that</w:t>
      </w:r>
      <w:r>
        <w:t xml:space="preserve"> </w:t>
      </w:r>
      <w:r>
        <w:rPr>
          <w:i/>
          <w:iCs/>
        </w:rPr>
        <w:t xml:space="preserve">inaction</w:t>
      </w:r>
      <w:r>
        <w:t xml:space="preserve"> </w:t>
      </w:r>
      <w:r>
        <w:t xml:space="preserve">could trigger credit-rating consequences across California, not just for utilities, and has pressed for a return to a durable investor-owned "cost-of-service" recovery model. The report has drawn criticism from consumer/survivor groups for being too utility-friendly, so the political path is contested.</w:t>
      </w:r>
    </w:p>
    <w:p>
      <w:pPr>
        <w:pStyle w:val="Compact"/>
        <w:numPr>
          <w:ilvl w:val="0"/>
          <w:numId w:val="1003"/>
        </w:numPr>
      </w:pPr>
      <w:r>
        <w:rPr>
          <w:b/>
          <w:bCs/>
        </w:rPr>
        <w:t xml:space="preserve">On the call, listen for:</w:t>
      </w:r>
      <w:r>
        <w:t xml:space="preserve"> </w:t>
      </w:r>
      <w:r>
        <w:t xml:space="preserve">management's read on the odds and shape of legislation, whether they'd resist the $3.9B contribution ask, and — importantly — what they'd do to the</w:t>
      </w:r>
      <w:r>
        <w:t xml:space="preserve"> </w:t>
      </w:r>
      <w:r>
        <w:rPr>
          <w:b/>
          <w:bCs/>
        </w:rPr>
        <w:t xml:space="preserve">capital plan/cost of capital</w:t>
      </w:r>
      <w:r>
        <w:t xml:space="preserve"> </w:t>
      </w:r>
      <w:r>
        <w:t xml:space="preserve">if nothing passes in 2026 (Pizarro said they'd "plan for future cycles" and revisit capital allocation).</w:t>
      </w:r>
    </w:p>
    <w:p>
      <w:r>
        <w:pict>
          <v:rect style="width:0;height:1.5pt" o:hralign="center" o:hrstd="t" o:hr="t"/>
        </w:pict>
      </w:r>
    </w:p>
    <w:bookmarkEnd w:id="13"/>
    <w:bookmarkStart w:id="14" w:name="Xc1ca30dfaa9199eb780b19fc1f06469ebec7e3f"/>
    <w:p>
      <w:pPr>
        <w:pStyle w:val="Heading2"/>
      </w:pPr>
      <w:r>
        <w:t xml:space="preserve">4. Credit — the quiet risk</w:t>
      </w:r>
    </w:p>
    <w:p>
      <w:pPr>
        <w:pStyle w:val="Compact"/>
        <w:numPr>
          <w:ilvl w:val="0"/>
          <w:numId w:val="1004"/>
        </w:numPr>
      </w:pPr>
      <w:r>
        <w:t xml:space="preserve">S&amp;P downgraded EIX/SCE to</w:t>
      </w:r>
      <w:r>
        <w:t xml:space="preserve"> </w:t>
      </w:r>
      <w:r>
        <w:rPr>
          <w:b/>
          <w:bCs/>
        </w:rPr>
        <w:t xml:space="preserve">BBB-</w:t>
      </w:r>
      <w:r>
        <w:t xml:space="preserve"> </w:t>
      </w:r>
      <w:r>
        <w:t xml:space="preserve">with a</w:t>
      </w:r>
      <w:r>
        <w:t xml:space="preserve"> </w:t>
      </w:r>
      <w:r>
        <w:rPr>
          <w:b/>
          <w:bCs/>
        </w:rPr>
        <w:t xml:space="preserve">negative outlook</w:t>
      </w:r>
      <w:r>
        <w:t xml:space="preserve">, driven by Eaton uncertainty and concern the ~</w:t>
      </w:r>
      <m:oMath>
        <m:r>
          <m:t>21</m:t>
        </m:r>
        <m:r>
          <m:t>B</m:t>
        </m:r>
        <m:r>
          <m:t>W</m:t>
        </m:r>
        <m:r>
          <m:t>i</m:t>
        </m:r>
        <m:r>
          <m:t>l</m:t>
        </m:r>
        <m:r>
          <m:t>d</m:t>
        </m:r>
        <m:r>
          <m:t>f</m:t>
        </m:r>
        <m:r>
          <m:t>i</m:t>
        </m:r>
        <m:r>
          <m:t>r</m:t>
        </m:r>
        <m:r>
          <m:t>e</m:t>
        </m:r>
        <m:r>
          <m:t>F</m:t>
        </m:r>
        <m:r>
          <m:t>u</m:t>
        </m:r>
        <m:r>
          <m:t>n</m:t>
        </m:r>
        <m:r>
          <m:t>d</m:t>
        </m:r>
        <m:r>
          <m:rPr>
            <m:sty m:val="p"/>
          </m:rPr>
          <m:t>*</m:t>
        </m:r>
        <m:r>
          <m:rPr>
            <m:sty m:val="p"/>
          </m:rPr>
          <m:t>*</m:t>
        </m:r>
        <m:r>
          <m:t>c</m:t>
        </m:r>
        <m:r>
          <m:t>o</m:t>
        </m:r>
        <m:r>
          <m:t>u</m:t>
        </m:r>
        <m:r>
          <m:t>l</m:t>
        </m:r>
        <m:r>
          <m:t>d</m:t>
        </m:r>
        <m:r>
          <m:t>b</m:t>
        </m:r>
        <m:r>
          <m:t>e</m:t>
        </m:r>
        <m:r>
          <m:t>d</m:t>
        </m:r>
        <m:r>
          <m:t>r</m:t>
        </m:r>
        <m:r>
          <m:t>a</m:t>
        </m:r>
        <m:r>
          <m:t>w</m:t>
        </m:r>
        <m:r>
          <m:t>n</m:t>
        </m:r>
        <m:r>
          <m:t>d</m:t>
        </m:r>
        <m:r>
          <m:t>o</m:t>
        </m:r>
        <m:r>
          <m:t>w</m:t>
        </m:r>
        <m:r>
          <m:t>n</m:t>
        </m:r>
        <m:r>
          <m:t>t</m:t>
        </m:r>
        <m:r>
          <m:t>o</m:t>
        </m:r>
        <m:r>
          <m:rPr>
            <m:sty m:val="p"/>
          </m:rPr>
          <m:t>*</m:t>
        </m:r>
        <m:r>
          <m:rPr>
            <m:sty m:val="p"/>
          </m:rPr>
          <m:t>*</m:t>
        </m:r>
        <m:r>
          <m:t> </m:t>
        </m:r>
      </m:oMath>
      <w:r>
        <w:rPr>
          <w:b/>
          <w:bCs/>
        </w:rPr>
        <w:t xml:space="preserve">14–16B</w:t>
      </w:r>
      <w:r>
        <w:t xml:space="preserve">.</w:t>
      </w:r>
    </w:p>
    <w:p>
      <w:pPr>
        <w:pStyle w:val="Compact"/>
        <w:numPr>
          <w:ilvl w:val="0"/>
          <w:numId w:val="1004"/>
        </w:numPr>
      </w:pPr>
      <w:r>
        <w:t xml:space="preserve">Management's counter: a</w:t>
      </w:r>
      <w:r>
        <w:t xml:space="preserve"> </w:t>
      </w:r>
      <w:r>
        <w:rPr>
          <w:b/>
          <w:bCs/>
        </w:rPr>
        <w:t xml:space="preserve">15–17% FFO-to-debt</w:t>
      </w:r>
      <w:r>
        <w:t xml:space="preserve"> </w:t>
      </w:r>
      <w:r>
        <w:t xml:space="preserve">framework (expected to stay in range),</w:t>
      </w:r>
      <w:r>
        <w:t xml:space="preserve"> </w:t>
      </w:r>
      <w:r>
        <w:rPr>
          <w:b/>
          <w:bCs/>
        </w:rPr>
        <w:t xml:space="preserve">no new equity through 2030</w:t>
      </w:r>
      <w:r>
        <w:t xml:space="preserve">, and ~$11B+ of historical cost recoveries by 2027. Watch for reaffirmation of the FFO/debt trajectory — a further negative rating action would be a real problem for the "no equity" promise.</w:t>
      </w:r>
    </w:p>
    <w:p>
      <w:r>
        <w:pict>
          <v:rect style="width:0;height:1.5pt" o:hralign="center" o:hrstd="t" o:hr="t"/>
        </w:pict>
      </w:r>
    </w:p>
    <w:bookmarkEnd w:id="14"/>
    <w:bookmarkStart w:id="15" w:name="X349701c238a9d0d76eac43cb4a6abedab54cdd2"/>
    <w:p>
      <w:pPr>
        <w:pStyle w:val="Heading2"/>
      </w:pPr>
      <w:r>
        <w:t xml:space="preserve">5. Regulated fundamentals (the "clean slate" bull case)</w:t>
      </w:r>
    </w:p>
    <w:p>
      <w:pPr>
        <w:pStyle w:val="FirstParagraph"/>
      </w:pPr>
      <w:r>
        <w:t xml:space="preserve">With the 2025 GRC, cost of capital, and legacy (TKM) recoveries all resolved, 2026 has few open proceedings — management calls it a "cleaner regulatory slate" with earnings visibility to 2028.</w:t>
      </w:r>
    </w:p>
    <w:p>
      <w:pPr>
        <w:pStyle w:val="Compact"/>
        <w:numPr>
          <w:ilvl w:val="0"/>
          <w:numId w:val="1005"/>
        </w:numPr>
      </w:pPr>
      <w:r>
        <w:rPr>
          <w:b/>
          <w:bCs/>
        </w:rPr>
        <w:t xml:space="preserve">Capital plan $38–41B (2026–2030); ~7% rate base CAGR through 2030.</w:t>
      </w:r>
    </w:p>
    <w:p>
      <w:pPr>
        <w:pStyle w:val="Compact"/>
        <w:numPr>
          <w:ilvl w:val="0"/>
          <w:numId w:val="1005"/>
        </w:numPr>
      </w:pPr>
      <w:r>
        <w:t xml:space="preserve">In-flight standalone applications already embedded in the plan:</w:t>
      </w:r>
      <w:r>
        <w:t xml:space="preserve"> </w:t>
      </w:r>
      <w:r>
        <w:rPr>
          <w:b/>
          <w:bCs/>
        </w:rPr>
        <w:t xml:space="preserve">AMI 2.0 (~$3.1B advanced metering)</w:t>
      </w:r>
      <w:r>
        <w:t xml:space="preserve"> </w:t>
      </w:r>
      <w:r>
        <w:t xml:space="preserve">and</w:t>
      </w:r>
      <w:r>
        <w:t xml:space="preserve"> </w:t>
      </w:r>
      <w:r>
        <w:rPr>
          <w:b/>
          <w:bCs/>
        </w:rPr>
        <w:t xml:space="preserve">NextGen ERP.</w:t>
      </w:r>
      <w:r>
        <w:t xml:space="preserve"> </w:t>
      </w:r>
      <w:r>
        <w:t xml:space="preserve">The</w:t>
      </w:r>
      <w:r>
        <w:t xml:space="preserve"> </w:t>
      </w:r>
      <w:r>
        <w:rPr>
          <w:b/>
          <w:bCs/>
        </w:rPr>
        <w:t xml:space="preserve">RAMP filing</w:t>
      </w:r>
      <w:r>
        <w:t xml:space="preserve"> </w:t>
      </w:r>
      <w:r>
        <w:t xml:space="preserve">(kicking off the next GRC cycle) was due mid-2026 — an update on filings/timelines is likely.</w:t>
      </w:r>
    </w:p>
    <w:p>
      <w:pPr>
        <w:pStyle w:val="Compact"/>
        <w:numPr>
          <w:ilvl w:val="0"/>
          <w:numId w:val="1005"/>
        </w:numPr>
      </w:pPr>
      <w:r>
        <w:t xml:space="preserve">Recurring themes:</w:t>
      </w:r>
      <w:r>
        <w:t xml:space="preserve"> </w:t>
      </w:r>
      <w:r>
        <w:rPr>
          <w:b/>
          <w:bCs/>
        </w:rPr>
        <w:t xml:space="preserve">affordability</w:t>
      </w:r>
      <w:r>
        <w:t xml:space="preserve"> </w:t>
      </w:r>
      <w:r>
        <w:t xml:space="preserve">(SCE touts lowest system average rate among CA IOUs; targeting rate increases at/below inflation through 2030),</w:t>
      </w:r>
      <w:r>
        <w:t xml:space="preserve"> </w:t>
      </w:r>
      <w:r>
        <w:rPr>
          <w:b/>
          <w:bCs/>
        </w:rPr>
        <w:t xml:space="preserve">wildfire mitigation</w:t>
      </w:r>
      <w:r>
        <w:t xml:space="preserve"> </w:t>
      </w:r>
      <w:r>
        <w:t xml:space="preserve">(~93% of high-fire-risk hardening complete, 7,100+ miles of covered conductor), and</w:t>
      </w:r>
      <w:r>
        <w:t xml:space="preserve"> </w:t>
      </w:r>
      <w:r>
        <w:rPr>
          <w:b/>
          <w:bCs/>
        </w:rPr>
        <w:t xml:space="preserve">AI-driven operating efficiencies</w:t>
      </w:r>
      <w:r>
        <w:t xml:space="preserve"> </w:t>
      </w:r>
      <w:r>
        <w:t xml:space="preserve">feeding the 5–7% growth.</w:t>
      </w:r>
    </w:p>
    <w:p>
      <w:r>
        <w:pict>
          <v:rect style="width:0;height:1.5pt" o:hralign="center" o:hrstd="t" o:hr="t"/>
        </w:pict>
      </w:r>
    </w:p>
    <w:bookmarkEnd w:id="15"/>
    <w:bookmarkStart w:id="16" w:name="Xdc92dae11ee4d3579b92f3b67b1e5e5c5f7c159"/>
    <w:p>
      <w:pPr>
        <w:pStyle w:val="Heading2"/>
      </w:pPr>
      <w:r>
        <w:t xml:space="preserve">6. Management change — first call for the new CFO</w:t>
      </w:r>
    </w:p>
    <w:p>
      <w:pPr>
        <w:pStyle w:val="FirstParagraph"/>
      </w:pPr>
      <w:r>
        <w:t xml:space="preserve">This is</w:t>
      </w:r>
      <w:r>
        <w:t xml:space="preserve"> </w:t>
      </w:r>
      <w:r>
        <w:rPr>
          <w:b/>
          <w:bCs/>
        </w:rPr>
        <w:t xml:space="preserve">Aaron Moss's first earnings call as EIX CFO</w:t>
      </w:r>
      <w:r>
        <w:t xml:space="preserve"> </w:t>
      </w:r>
      <w:r>
        <w:t xml:space="preserve">(he took the role July 3;</w:t>
      </w:r>
      <w:r>
        <w:t xml:space="preserve"> </w:t>
      </w:r>
      <w:r>
        <w:rPr>
          <w:b/>
          <w:bCs/>
        </w:rPr>
        <w:t xml:space="preserve">Maria Rigatti retires Sept. 1</w:t>
      </w:r>
      <w:r>
        <w:t xml:space="preserve"> </w:t>
      </w:r>
      <w:r>
        <w:t xml:space="preserve">after 39 quarters). Expect continuity of messaging, but a new voice on guidance and balance-sheet questions.</w:t>
      </w:r>
    </w:p>
    <w:p>
      <w:r>
        <w:pict>
          <v:rect style="width:0;height:1.5pt" o:hralign="center" o:hrstd="t" o:hr="t"/>
        </w:pict>
      </w:r>
    </w:p>
    <w:bookmarkEnd w:id="16"/>
    <w:bookmarkStart w:id="17" w:name="X2400502de18190f8b0084cc55dbd9b28dfdcabc"/>
    <w:p>
      <w:pPr>
        <w:pStyle w:val="Heading2"/>
      </w:pPr>
      <w:r>
        <w:t xml:space="preserve">7. Stock context</w:t>
      </w:r>
    </w:p>
    <w:p>
      <w:pPr>
        <w:pStyle w:val="FirstParagraph"/>
      </w:pPr>
      <w:r>
        <w:t xml:space="preserve">EIX has</w:t>
      </w:r>
      <w:r>
        <w:t xml:space="preserve"> </w:t>
      </w:r>
      <w:r>
        <w:rPr>
          <w:b/>
          <w:bCs/>
        </w:rPr>
        <w:t xml:space="preserve">rallied ~30% YTD</w:t>
      </w:r>
      <w:r>
        <w:t xml:space="preserve">, from roughly</w:t>
      </w:r>
      <w:r>
        <w:t xml:space="preserve"> </w:t>
      </w:r>
      <m:oMath>
        <m:r>
          <m:t>60</m:t>
        </m:r>
        <m:r>
          <m:t>i</m:t>
        </m:r>
        <m:r>
          <m:t>n</m:t>
        </m:r>
        <m:r>
          <m:t>e</m:t>
        </m:r>
        <m:r>
          <m:t>a</m:t>
        </m:r>
        <m:r>
          <m:t>r</m:t>
        </m:r>
        <m:r>
          <m:t>l</m:t>
        </m:r>
        <m:r>
          <m:t>y</m:t>
        </m:r>
        <m:r>
          <m:t>J</m:t>
        </m:r>
        <m:r>
          <m:t>a</m:t>
        </m:r>
        <m:r>
          <m:t>n</m:t>
        </m:r>
        <m:r>
          <m:t>u</m:t>
        </m:r>
        <m:r>
          <m:t>a</m:t>
        </m:r>
        <m:r>
          <m:t>r</m:t>
        </m:r>
        <m:r>
          <m:t>y</m:t>
        </m:r>
        <m:r>
          <m:t>t</m:t>
        </m:r>
        <m:r>
          <m:t>o</m:t>
        </m:r>
        <m:r>
          <m:t> </m:t>
        </m:r>
      </m:oMath>
      <w:r>
        <w:rPr>
          <w:b/>
          <w:bCs/>
        </w:rPr>
        <w:t xml:space="preserve">79</w:t>
      </w:r>
      <w:r>
        <w:t xml:space="preserve"> </w:t>
      </w:r>
      <w:r>
        <w:t xml:space="preserve">(vs. ~</w:t>
      </w:r>
      <w:r>
        <w:t xml:space="preserve">$78.9 on 7/29), as the Eaton "worst case" fear faded and legislative optimism built. PG&amp;E has moved similarly (~$</w:t>
      </w:r>
      <w:r>
        <w:t xml:space="preserve">16 → ~$18), so much of this is the sector-wide California-utility re-rate. The stock now yields ~5% with 22 consecutive years of dividend growth — but at these levels, a lot of the "legislation passes / Eaton manageable" outcome is arguably priced in, which raises the bar for a positive surprise and the downside if the August legislative window disappoints.</w:t>
      </w:r>
    </w:p>
    <w:p>
      <w:r>
        <w:pict>
          <v:rect style="width:0;height:1.5pt" o:hralign="center" o:hrstd="t" o:hr="t"/>
        </w:pict>
      </w:r>
    </w:p>
    <w:bookmarkEnd w:id="17"/>
    <w:bookmarkStart w:id="18" w:name="what-to-watch-thursday-quick-checklist"/>
    <w:p>
      <w:pPr>
        <w:pStyle w:val="Heading2"/>
      </w:pPr>
      <w:r>
        <w:t xml:space="preserve">What to watch Thursday (quick checklist)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Why it matters</w:t>
            </w:r>
          </w:p>
        </w:tc>
      </w:tr>
      <w:tr>
        <w:tc>
          <w:tcPr/>
          <w:p>
            <w:pPr>
              <w:pStyle w:val="Compact"/>
            </w:pPr>
            <w:r>
              <w:t xml:space="preserve">2026 guidance reaffirmed (</w:t>
            </w:r>
            <m:oMath>
              <m:r>
                <m:t>5.90</m:t>
              </m:r>
              <m:r>
                <m:rPr>
                  <m:sty m:val="p"/>
                </m:rPr>
                <m:t>–</m:t>
              </m:r>
            </m:oMath>
            <w:r>
              <w:t xml:space="preserve">6.20)?</w:t>
            </w:r>
          </w:p>
        </w:tc>
        <w:tc>
          <w:tcPr/>
          <w:p>
            <w:pPr>
              <w:pStyle w:val="Compact"/>
            </w:pPr>
            <w:r>
              <w:t xml:space="preserve">Base-case yes; any change is a shock</w:t>
            </w:r>
          </w:p>
        </w:tc>
      </w:tr>
      <w:tr>
        <w:tc>
          <w:tcPr/>
          <w:p>
            <w:pPr>
              <w:pStyle w:val="Compact"/>
            </w:pPr>
            <w:r>
              <w:t xml:space="preserve">Eaton: WRCP offers/payments update + any reserve/estimate</w:t>
            </w:r>
          </w:p>
        </w:tc>
        <w:tc>
          <w:tcPr/>
          <w:p>
            <w:pPr>
              <w:pStyle w:val="Compact"/>
            </w:pPr>
            <w:r>
              <w:t xml:space="preserve">The #1 swing factor</w:t>
            </w:r>
          </w:p>
        </w:tc>
      </w:tr>
      <w:tr>
        <w:tc>
          <w:tcPr/>
          <w:p>
            <w:pPr>
              <w:pStyle w:val="Compact"/>
            </w:pPr>
            <w:r>
              <w:t xml:space="preserve">Commentary on the "idle-since-1971 tower" / inverse-condemnation defense</w:t>
            </w:r>
          </w:p>
        </w:tc>
        <w:tc>
          <w:tcPr/>
          <w:p>
            <w:pPr>
              <w:pStyle w:val="Compact"/>
            </w:pPr>
            <w:r>
              <w:t xml:space="preserve">New liability-mitigation angle</w:t>
            </w:r>
          </w:p>
        </w:tc>
      </w:tr>
      <w:tr>
        <w:tc>
          <w:tcPr/>
          <w:p>
            <w:pPr>
              <w:pStyle w:val="Compact"/>
            </w:pPr>
            <w:r>
              <w:t xml:space="preserve">Legislative handicapping (Aug 31 deadline)</w:t>
            </w:r>
          </w:p>
        </w:tc>
        <w:tc>
          <w:tcPr/>
          <w:p>
            <w:pPr>
              <w:pStyle w:val="Compact"/>
            </w:pPr>
            <w:r>
              <w:t xml:space="preserve">Biggest near-term catalyst</w:t>
            </w:r>
          </w:p>
        </w:tc>
      </w:tr>
      <w:tr>
        <w:tc>
          <w:tcPr/>
          <w:p>
            <w:pPr>
              <w:pStyle w:val="Compact"/>
            </w:pPr>
            <w:r>
              <w:t xml:space="preserve">FFO/debt (15–17%) &amp; "no equity through 2030" reaffirmation</w:t>
            </w:r>
          </w:p>
        </w:tc>
        <w:tc>
          <w:tcPr/>
          <w:p>
            <w:pPr>
              <w:pStyle w:val="Compact"/>
            </w:pPr>
            <w:r>
              <w:t xml:space="preserve">Credit / dilution risk</w:t>
            </w:r>
          </w:p>
        </w:tc>
      </w:tr>
      <w:tr>
        <w:tc>
          <w:tcPr/>
          <w:p>
            <w:pPr>
              <w:pStyle w:val="Compact"/>
            </w:pPr>
            <w:r>
              <w:t xml:space="preserve">Cost of capital / capex contingency if no bill passes</w:t>
            </w:r>
          </w:p>
        </w:tc>
        <w:tc>
          <w:tcPr/>
          <w:p>
            <w:pPr>
              <w:pStyle w:val="Compact"/>
            </w:pPr>
            <w:r>
              <w:t xml:space="preserve">Tail-risk framing</w:t>
            </w:r>
          </w:p>
        </w:tc>
      </w:tr>
      <w:tr>
        <w:tc>
          <w:tcPr/>
          <w:p>
            <w:pPr>
              <w:pStyle w:val="Compact"/>
            </w:pPr>
            <w:r>
              <w:t xml:space="preserve">RAMP filing &amp; AMI 2.0 / ERP timelines</w:t>
            </w:r>
          </w:p>
        </w:tc>
        <w:tc>
          <w:tcPr/>
          <w:p>
            <w:pPr>
              <w:pStyle w:val="Compact"/>
            </w:pPr>
            <w:r>
              <w:t xml:space="preserve">Rate-base growth durability</w:t>
            </w:r>
          </w:p>
        </w:tc>
      </w:tr>
      <w:tr>
        <w:tc>
          <w:tcPr/>
          <w:p>
            <w:pPr>
              <w:pStyle w:val="Compact"/>
            </w:pPr>
            <w:r>
              <w:t xml:space="preserve">New CFO's tone</w:t>
            </w:r>
          </w:p>
        </w:tc>
        <w:tc>
          <w:tcPr/>
          <w:p>
            <w:pPr>
              <w:pStyle w:val="Compact"/>
            </w:pPr>
            <w:r>
              <w:t xml:space="preserve">Continuity signal</w:t>
            </w:r>
          </w:p>
        </w:tc>
      </w:tr>
    </w:tbl>
    <w:p>
      <w:r>
        <w:pict>
          <v:rect style="width:0;height:1.5pt" o:hralign="center" o:hrstd="t" o:hr="t"/>
        </w:pict>
      </w:r>
    </w:p>
    <w:p>
      <w:pPr>
        <w:pStyle w:val="FirstParagraph"/>
      </w:pPr>
      <w:r>
        <w:rPr>
          <w:b/>
          <w:bCs/>
        </w:rPr>
        <w:t xml:space="preserve">Net take:</w:t>
      </w:r>
      <w:r>
        <w:t xml:space="preserve"> </w:t>
      </w:r>
      <w:r>
        <w:t xml:space="preserve">Fundamentals are the good news and are largely de-risked into 2028; the print should be uneventful. The real trade is binary and external — the</w:t>
      </w:r>
      <w:r>
        <w:t xml:space="preserve"> </w:t>
      </w:r>
      <w:r>
        <w:rPr>
          <w:b/>
          <w:bCs/>
        </w:rPr>
        <w:t xml:space="preserve">August legislative outcome</w:t>
      </w:r>
      <w:r>
        <w:t xml:space="preserve"> </w:t>
      </w:r>
      <w:r>
        <w:t xml:space="preserve">and the</w:t>
      </w:r>
      <w:r>
        <w:t xml:space="preserve"> </w:t>
      </w:r>
      <w:r>
        <w:rPr>
          <w:b/>
          <w:bCs/>
        </w:rPr>
        <w:t xml:space="preserve">slow drip of Eaton claims/legal developments.</w:t>
      </w:r>
      <w:r>
        <w:t xml:space="preserve"> </w:t>
      </w:r>
      <w:r>
        <w:t xml:space="preserve">After a 30% run, EIX needs the legislation to land to justify the re-rate, and this call is management's last big platform to set expectations before the session closes.</w:t>
      </w:r>
    </w:p>
    <w:p>
      <w:pPr>
        <w:pStyle w:val="BodyText"/>
      </w:pPr>
      <w:r>
        <w:rPr>
          <w:i/>
          <w:iCs/>
        </w:rPr>
        <w:t xml:space="preserve">Note: figures above are drawn from EIX's Q1 2026 release/transcript and business update, S&amp;P/CPUC filings, and public news through late July 2026; specific consensus EPS figures vary by source (core vs. GAAP, basic vs. diluted) and should be verified against your own data feed.</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2026-07-29T19:15:11Z</dcterms:created>
  <dcterms:modified xsi:type="dcterms:W3CDTF">2026-07-29T19:15:11Z</dcterms:modified>
</cp:coreProperties>
</file>

<file path=docProps/custom.xml><?xml version="1.0" encoding="utf-8"?>
<Properties xmlns="http://schemas.openxmlformats.org/officeDocument/2006/custom-properties" xmlns:vt="http://schemas.openxmlformats.org/officeDocument/2006/docPropsVTypes"/>
</file>