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ix-earnings-predictions--2026-07-30"/>
    <w:p>
      <w:pPr>
        <w:pStyle w:val="Heading1"/>
      </w:pPr>
      <w:r>
        <w:t xml:space="preserve">EIX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~$1.20 vs. cons $1.15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~$4.60B vs. cons $4.65B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SCE O&amp;M / Operating Expense Discipline (ex-fuel)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~flat y/y op-ex vs. cons modest 2-3% increase implied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EPS Guidance (</w:t>
            </w:r>
            <m:oMath>
              <m:r>
                <m:t>5.90</m:t>
              </m:r>
              <m:r>
                <m:rPr>
                  <m:sty m:val="p"/>
                </m:rPr>
                <m:t>−</m:t>
              </m:r>
            </m:oMath>
            <w:r>
              <w:t xml:space="preserve">6.20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~$6.05 midpoint reaffirmed vs. cons $6.05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Core EPS CAGR 2026-2030 (5-7%)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 midpoint vs. cons ~6%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Capital Plan / No New Equity through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~$39.5B capex (midpoint of</w:t>
            </w:r>
            <w:r>
              <w:t xml:space="preserve"> </w:t>
            </w:r>
            <m:oMath>
              <m:r>
                <m:t>38</m:t>
              </m:r>
              <m:r>
                <m:rPr>
                  <m:sty m:val="p"/>
                </m:rPr>
                <m:t>−</m:t>
              </m:r>
              <m:r>
                <m:t>41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39.5B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Eaton Fire WRCP Offers/Claims Dollar Total (key commentary, no formal reserve)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750</m:t>
              </m:r>
              <m:r>
                <m:t>M</m:t>
              </m:r>
              <m:r>
                <m:t>c</m:t>
              </m:r>
              <m:r>
                <m:t>u</m:t>
              </m:r>
              <m:r>
                <m:t>m</m:t>
              </m:r>
              <m:r>
                <m:t>u</m:t>
              </m:r>
              <m:r>
                <m:t>l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o</m:t>
              </m:r>
              <m:r>
                <m:t>f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650M expected update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With guidance already reaffirmed at</w:t>
            </w:r>
            <w:r>
              <w:t xml:space="preserve"> </w:t>
            </w:r>
            <m:oMath>
              <m:r>
                <m:t>5.90</m:t>
              </m:r>
              <m:r>
                <m:rPr>
                  <m:sty m:val="p"/>
                </m:rPr>
                <m:t>−</m:t>
              </m:r>
            </m:oMath>
            <w:r>
              <w:t xml:space="preserve">6.20 for three straight quarters and no new equity/financing surprises, a modest EPS beat is unlikely to trigger meaningful full-year estimate revisions since H1 run-rate (~$2.62) tracks normally against the H2 implied build. The two true stock-moving catalysts—Eaton Fire liability quantification and SB254 wildfire-legislation outcome—remain unresolved heading into the Aug 31 session close, so the print itself lacks a binary trigger; absent new litigation/legislative headlines in the days after, initial reaction should hold rather than extend or reverse sharply.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2026-07-29T19:22:31Z</dcterms:created>
  <dcterms:modified xsi:type="dcterms:W3CDTF">2026-07-29T19:22:31Z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