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ix-earnings-predictions--2026-07-30"/>
    <w:p>
      <w:pPr>
        <w:pStyle w:val="Heading1"/>
      </w:pPr>
      <w:r>
        <w:t xml:space="preserve">EIX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~$1.21 vs. cons $1.18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~$4.84B vs. cons $4.80B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SCE 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~$1.45 vs. cons $1.41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~$6.05 midpoint vs. cons $6.13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~$6.45 midpoint vs. cons $6.50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~$6.94 midpoint vs. cons $6.93 (FY2028)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~$39.5B midpoint vs. cons $39.5B (2026–2030)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Common-equity issuance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~$0.0B vs. cons $0.0B (through FY2030)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-2.7% (FOLLOW-THROUGH)</w:t>
            </w:r>
          </w:p>
        </w:tc>
        <w:tc>
          <w:tcPr/>
          <w:p>
            <w:pPr>
              <w:pStyle w:val="Compact"/>
            </w:pPr>
            <w:r>
              <w:t xml:space="preserve">A modest quarterly beat is unlikely to generate material estimate revisions because unchanged FY2026 guidance implies ~</w:t>
            </w:r>
            <m:oMath>
              <m:r>
                <m:t>3.42</m:t>
              </m:r>
              <m:r>
                <m:t>o</m:t>
              </m:r>
              <m:r>
                <m:t>f</m:t>
              </m:r>
              <m:r>
                <m:t>r</m:t>
              </m:r>
              <m:r>
                <m:t>e</m:t>
              </m:r>
              <m:r>
                <m:t>q</m:t>
              </m:r>
              <m:r>
                <m:t>u</m:t>
              </m:r>
              <m:r>
                <m:t>i</m:t>
              </m:r>
              <m:r>
                <m:t>r</m:t>
              </m:r>
              <m:r>
                <m:t>e</m:t>
              </m:r>
              <m:r>
                <m:t>d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c</m:t>
              </m:r>
              <m:r>
                <m:t>o</m:t>
              </m:r>
              <m:r>
                <m:t>r</m:t>
              </m:r>
              <m:r>
                <m:t>e</m:t>
              </m:r>
              <m:r>
                <m:t>E</m:t>
              </m:r>
              <m:r>
                <m:t>P</m:t>
              </m:r>
              <m:r>
                <m:t>S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3.39 consensus hurdle, while FY2027 guidance remains ~$0.05 below consensus. Continued Eaton-liability uncertainty should keep the post-report multiple from expanding, producing negative follow-through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2026-07-29T19:18:26Z</dcterms:created>
  <dcterms:modified xsi:type="dcterms:W3CDTF">2026-07-29T19:18:26Z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