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a502f0c9d5d51f32d5d1ba3ef33262930a93fae"/>
    <w:p>
      <w:pPr>
        <w:pStyle w:val="Heading1"/>
      </w:pPr>
      <w:r>
        <w:t xml:space="preserve">Edison International (NYSE: EIX) — 2026Q2 Earnings Preview</w:t>
      </w:r>
    </w:p>
    <w:p>
      <w:pPr>
        <w:pStyle w:val="FirstParagraph"/>
      </w:pPr>
      <w:r>
        <w:rPr>
          <w:b/>
          <w:bCs/>
        </w:rPr>
        <w:t xml:space="preserve">Report date:</w:t>
      </w:r>
      <w:r>
        <w:t xml:space="preserve"> </w:t>
      </w:r>
      <w:r>
        <w:t xml:space="preserve">Thursday, July 30, 2026, after market close</w:t>
      </w:r>
      <w:r>
        <w:br/>
      </w:r>
      <w:r>
        <w:rPr>
          <w:b/>
          <w:bCs/>
        </w:rPr>
        <w:t xml:space="preserve">Conference call:</w:t>
      </w:r>
      <w:r>
        <w:t xml:space="preserve"> </w:t>
      </w:r>
      <w:r>
        <w:t xml:space="preserve">4:30 p.m. ET / 1:30 p.m. PT (</w:t>
      </w:r>
      <w:hyperlink r:id="rId9">
        <w:r>
          <w:rPr>
            <w:rStyle w:val="Hyperlink"/>
          </w:rPr>
          <w:t xml:space="preserve">newsroom.edison.com</w:t>
        </w:r>
      </w:hyperlink>
      <w:r>
        <w:t xml:space="preserve">)</w:t>
      </w:r>
    </w:p>
    <w:bookmarkStart w:id="10" w:name="executive-view"/>
    <w:p>
      <w:pPr>
        <w:pStyle w:val="Heading2"/>
      </w:pPr>
      <w:r>
        <w:t xml:space="preserve">Executive view</w:t>
      </w:r>
    </w:p>
    <w:p>
      <w:pPr>
        <w:pStyle w:val="FirstParagraph"/>
      </w:pPr>
      <w:r>
        <w:t xml:space="preserve">EIX enters the quarter with a</w:t>
      </w:r>
      <w:r>
        <w:t xml:space="preserve"> </w:t>
      </w:r>
      <w:r>
        <w:rPr>
          <w:b/>
          <w:bCs/>
        </w:rPr>
        <w:t xml:space="preserve">constructive operating and regulatory backdrop, but a materially higher investor bar</w:t>
      </w:r>
      <w:r>
        <w:t xml:space="preserve">. The shares closed July 29 at $78.81, approximately 31% above year-end 2025, as investors gained confidence in the approved rate plan, the financing outlook and the mechanisms available to fund Eaton Fire claims.</w:t>
      </w:r>
    </w:p>
    <w:p>
      <w:pPr>
        <w:pStyle w:val="BodyText"/>
      </w:pPr>
      <w:r>
        <w:t xml:space="preserve">Consequently, the most important outcome is unlikely to be a few cents of quarterly EPS. Investors should focus on:</w:t>
      </w:r>
    </w:p>
    <w:p>
      <w:pPr>
        <w:pStyle w:val="Compact"/>
        <w:numPr>
          <w:ilvl w:val="0"/>
          <w:numId w:val="1001"/>
        </w:numPr>
      </w:pPr>
      <w:r>
        <w:rPr>
          <w:b/>
          <w:bCs/>
        </w:rPr>
        <w:t xml:space="preserve">Whether management maintains or improves 2026–2028 earnings guidance.</w:t>
      </w:r>
    </w:p>
    <w:p>
      <w:pPr>
        <w:pStyle w:val="Compact"/>
        <w:numPr>
          <w:ilvl w:val="0"/>
          <w:numId w:val="1001"/>
        </w:numPr>
      </w:pPr>
      <w:r>
        <w:rPr>
          <w:b/>
          <w:bCs/>
        </w:rPr>
        <w:t xml:space="preserve">How quickly Eaton Fire settlements and associated accounting accruals are growing.</w:t>
      </w:r>
    </w:p>
    <w:p>
      <w:pPr>
        <w:pStyle w:val="Compact"/>
        <w:numPr>
          <w:ilvl w:val="0"/>
          <w:numId w:val="1001"/>
        </w:numPr>
      </w:pPr>
      <w:r>
        <w:rPr>
          <w:b/>
          <w:bCs/>
        </w:rPr>
        <w:t xml:space="preserve">Whether California wildfire reform appears likely before the legislative session ends on August 31.</w:t>
      </w:r>
    </w:p>
    <w:p>
      <w:pPr>
        <w:pStyle w:val="Compact"/>
        <w:numPr>
          <w:ilvl w:val="0"/>
          <w:numId w:val="1001"/>
        </w:numPr>
      </w:pPr>
      <w:r>
        <w:rPr>
          <w:b/>
          <w:bCs/>
        </w:rPr>
        <w:t xml:space="preserve">Whether the</w:t>
      </w:r>
      <w:r>
        <w:rPr>
          <w:b/>
          <w:bCs/>
        </w:rPr>
        <w:t xml:space="preserve"> </w:t>
      </w:r>
      <m:oMath>
        <m:r>
          <m:t>38</m:t>
        </m:r>
        <m:r>
          <m:rPr>
            <m:sty m:val="p"/>
          </m:rPr>
          <m:t>–</m:t>
        </m:r>
      </m:oMath>
      <w:r>
        <w:rPr>
          <w:b/>
          <w:bCs/>
        </w:rPr>
        <w:t xml:space="preserve">41 billion capital plan and “no new equity through 2030” commitment remain intact.</w:t>
      </w:r>
    </w:p>
    <w:p>
      <w:pPr>
        <w:pStyle w:val="Compact"/>
        <w:numPr>
          <w:ilvl w:val="0"/>
          <w:numId w:val="1001"/>
        </w:numPr>
      </w:pPr>
      <w:r>
        <w:rPr>
          <w:b/>
          <w:bCs/>
        </w:rPr>
        <w:t xml:space="preserve">Any change in the affordability, financing or regulatory assumptions supporting roughly 7% rate-base growth.</w:t>
      </w:r>
    </w:p>
    <w:p>
      <w:pPr>
        <w:pStyle w:val="FirstParagraph"/>
      </w:pPr>
      <w:r>
        <w:t xml:space="preserve">The fundamental setup remains favorable, but the risk/reward is less forgiving after the share-price recovery. A routine EPS beat accompanied by unchanged wildfire commentary may not be enough to drive a major positive reaction.</w:t>
      </w:r>
    </w:p>
    <w:p>
      <w:r>
        <w:pict>
          <v:rect style="width:0;height:1.5pt" o:hralign="center" o:hrstd="t" o:hr="t"/>
        </w:pict>
      </w:r>
    </w:p>
    <w:bookmarkEnd w:id="10"/>
    <w:bookmarkStart w:id="13" w:name="expectations-snapshot"/>
    <w:p>
      <w:pPr>
        <w:pStyle w:val="Heading2"/>
      </w:pPr>
      <w:r>
        <w:t xml:space="preserve">Expectations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benchmark</w:t>
            </w:r>
          </w:p>
        </w:tc>
      </w:tr>
      <w:tr>
        <w:tc>
          <w:tcPr/>
          <w:p>
            <w:pPr>
              <w:pStyle w:val="Compact"/>
            </w:pPr>
            <w:r>
              <w:t xml:space="preserve">Q2 core EPS consensus</w:t>
            </w:r>
          </w:p>
        </w:tc>
        <w:tc>
          <w:tcPr/>
          <w:p>
            <w:pPr>
              <w:pStyle w:val="Compact"/>
              <w:jc w:val="right"/>
            </w:pPr>
            <w:r>
              <w:t xml:space="preserve">Approximately</w:t>
            </w:r>
            <w:r>
              <w:t xml:space="preserve"> </w:t>
            </w:r>
            <w:r>
              <w:rPr>
                <w:b/>
                <w:bCs/>
              </w:rPr>
              <w:t xml:space="preserve">$1.18</w:t>
            </w:r>
          </w:p>
        </w:tc>
      </w:tr>
      <w:tr>
        <w:tc>
          <w:tcPr/>
          <w:p>
            <w:pPr>
              <w:pStyle w:val="Compact"/>
            </w:pPr>
            <w:r>
              <w:t xml:space="preserve">Q2 revenue consensus</w:t>
            </w:r>
          </w:p>
        </w:tc>
        <w:tc>
          <w:tcPr/>
          <w:p>
            <w:pPr>
              <w:pStyle w:val="Compact"/>
              <w:jc w:val="right"/>
            </w:pPr>
            <w:r>
              <w:t xml:space="preserve">Approximately</w:t>
            </w:r>
            <w:r>
              <w:t xml:space="preserve"> </w:t>
            </w:r>
            <w:r>
              <w:rPr>
                <w:b/>
                <w:bCs/>
              </w:rPr>
              <w:t xml:space="preserve">$4.8 billion</w:t>
            </w:r>
          </w:p>
        </w:tc>
      </w:tr>
      <w:tr>
        <w:tc>
          <w:tcPr/>
          <w:p>
            <w:pPr>
              <w:pStyle w:val="Compact"/>
            </w:pPr>
            <w:r>
              <w:t xml:space="preserve">Q2 2025 core EPS</w:t>
            </w:r>
          </w:p>
        </w:tc>
        <w:tc>
          <w:tcPr/>
          <w:p>
            <w:pPr>
              <w:pStyle w:val="Compact"/>
              <w:jc w:val="right"/>
            </w:pPr>
            <w:r>
              <w:rPr>
                <w:b/>
                <w:bCs/>
              </w:rPr>
              <w:t xml:space="preserve">$0.97</w:t>
            </w:r>
          </w:p>
        </w:tc>
      </w:tr>
      <w:tr>
        <w:tc>
          <w:tcPr/>
          <w:p>
            <w:pPr>
              <w:pStyle w:val="Compact"/>
            </w:pPr>
            <w:r>
              <w:t xml:space="preserve">Q2 2025 revenue</w:t>
            </w:r>
          </w:p>
        </w:tc>
        <w:tc>
          <w:tcPr/>
          <w:p>
            <w:pPr>
              <w:pStyle w:val="Compact"/>
              <w:jc w:val="right"/>
            </w:pPr>
            <w:r>
              <w:rPr>
                <w:b/>
                <w:bCs/>
              </w:rPr>
              <w:t xml:space="preserve">$4.54 billion</w:t>
            </w:r>
          </w:p>
        </w:tc>
      </w:tr>
      <w:tr>
        <w:tc>
          <w:tcPr/>
          <w:p>
            <w:pPr>
              <w:pStyle w:val="Compact"/>
            </w:pPr>
            <w:r>
              <w:t xml:space="preserve">Q1 2026 core EPS</w:t>
            </w:r>
          </w:p>
        </w:tc>
        <w:tc>
          <w:tcPr/>
          <w:p>
            <w:pPr>
              <w:pStyle w:val="Compact"/>
              <w:jc w:val="right"/>
            </w:pPr>
            <w:r>
              <w:rPr>
                <w:b/>
                <w:bCs/>
              </w:rPr>
              <w:t xml:space="preserve">$1.42</w:t>
            </w:r>
          </w:p>
        </w:tc>
      </w:tr>
      <w:tr>
        <w:tc>
          <w:tcPr/>
          <w:p>
            <w:pPr>
              <w:pStyle w:val="Compact"/>
            </w:pPr>
            <w:r>
              <w:t xml:space="preserve">2026 core EPS guidance</w:t>
            </w:r>
          </w:p>
        </w:tc>
        <w:tc>
          <w:tcPr/>
          <w:p>
            <w:pPr>
              <w:pStyle w:val="Compact"/>
              <w:jc w:val="right"/>
            </w:pPr>
            <m:oMath>
              <m:r>
                <m:t>5.90</m:t>
              </m:r>
              <m:r>
                <m:rPr>
                  <m:sty m:val="p"/>
                </m:rPr>
                <m:t>–</m:t>
              </m:r>
            </m:oMath>
            <w:r>
              <w:rPr>
                <w:b/>
                <w:bCs/>
              </w:rPr>
              <w:t xml:space="preserve">6.20</w:t>
            </w:r>
          </w:p>
        </w:tc>
      </w:tr>
      <w:tr>
        <w:tc>
          <w:tcPr/>
          <w:p>
            <w:pPr>
              <w:pStyle w:val="Compact"/>
            </w:pPr>
            <w:r>
              <w:t xml:space="preserve">2027 core EPS guidance</w:t>
            </w:r>
          </w:p>
        </w:tc>
        <w:tc>
          <w:tcPr/>
          <w:p>
            <w:pPr>
              <w:pStyle w:val="Compact"/>
              <w:jc w:val="right"/>
            </w:pPr>
            <m:oMath>
              <m:r>
                <m:t>6.25</m:t>
              </m:r>
              <m:r>
                <m:rPr>
                  <m:sty m:val="p"/>
                </m:rPr>
                <m:t>–</m:t>
              </m:r>
            </m:oMath>
            <w:r>
              <w:rPr>
                <w:b/>
                <w:bCs/>
              </w:rPr>
              <w:t xml:space="preserve">6.65</w:t>
            </w:r>
          </w:p>
        </w:tc>
      </w:tr>
      <w:tr>
        <w:tc>
          <w:tcPr/>
          <w:p>
            <w:pPr>
              <w:pStyle w:val="Compact"/>
            </w:pPr>
            <w:r>
              <w:t xml:space="preserve">2028 core EPS guidance</w:t>
            </w:r>
          </w:p>
        </w:tc>
        <w:tc>
          <w:tcPr/>
          <w:p>
            <w:pPr>
              <w:pStyle w:val="Compact"/>
              <w:jc w:val="right"/>
            </w:pPr>
            <m:oMath>
              <m:r>
                <m:t>6.74</m:t>
              </m:r>
              <m:r>
                <m:rPr>
                  <m:sty m:val="p"/>
                </m:rPr>
                <m:t>–</m:t>
              </m:r>
            </m:oMath>
            <w:r>
              <w:rPr>
                <w:b/>
                <w:bCs/>
              </w:rPr>
              <w:t xml:space="preserve">7.14</w:t>
            </w:r>
          </w:p>
        </w:tc>
      </w:tr>
    </w:tbl>
    <w:p>
      <w:pPr>
        <w:pStyle w:val="BodyText"/>
      </w:pPr>
      <w:r>
        <w:t xml:space="preserve">Public estimate aggregators are unusually inconsistent, with Q2 EPS figures ranging from roughly $1.02 to</w:t>
      </w:r>
      <w:r>
        <w:t xml:space="preserve"> </w:t>
      </w:r>
      <m:oMath>
        <m:r>
          <m:t>1.18</m:t>
        </m:r>
        <m:r>
          <m:rPr>
            <m:sty m:val="p"/>
          </m:rPr>
          <m:t>.</m:t>
        </m:r>
        <m:r>
          <m:t>I</m:t>
        </m:r>
        <m:r>
          <m:t>w</m:t>
        </m:r>
        <m:r>
          <m:t>o</m:t>
        </m:r>
        <m:r>
          <m:t>u</m:t>
        </m:r>
        <m:r>
          <m:t>l</m:t>
        </m:r>
        <m:r>
          <m:t>d</m:t>
        </m:r>
        <m:r>
          <m:t>t</m:t>
        </m:r>
        <m:r>
          <m:t>h</m:t>
        </m:r>
        <m:r>
          <m:t>e</m:t>
        </m:r>
        <m:r>
          <m:t>r</m:t>
        </m:r>
        <m:r>
          <m:t>e</m:t>
        </m:r>
        <m:r>
          <m:t>f</m:t>
        </m:r>
        <m:r>
          <m:t>o</m:t>
        </m:r>
        <m:r>
          <m:t>r</m:t>
        </m:r>
        <m:r>
          <m:t>e</m:t>
        </m:r>
        <m:r>
          <m:t>t</m:t>
        </m:r>
        <m:r>
          <m:t>r</m:t>
        </m:r>
        <m:r>
          <m:t>e</m:t>
        </m:r>
        <m:r>
          <m:t>a</m:t>
        </m:r>
        <m:r>
          <m:t>t</m:t>
        </m:r>
        <m:r>
          <m:rPr>
            <m:sty m:val="p"/>
          </m:rPr>
          <m:t>*</m:t>
        </m:r>
        <m:r>
          <m:rPr>
            <m:sty m:val="p"/>
          </m:rPr>
          <m:t>*</m:t>
        </m:r>
      </m:oMath>
      <w:r>
        <w:t xml:space="preserve">1.1–$1.2 as the practical quarterly hurdle**, rather than attaching too much significance to one consensus number. The broader full-year consensus is around $6.13, slightly above management’s $6.05 guidance midpoint. (</w:t>
      </w:r>
      <w:hyperlink r:id="rId11">
        <w:r>
          <w:rPr>
            <w:rStyle w:val="Hyperlink"/>
          </w:rPr>
          <w:t xml:space="preserve">tickerleague.com</w:t>
        </w:r>
      </w:hyperlink>
      <w:r>
        <w:t xml:space="preserve">)</w:t>
      </w:r>
    </w:p>
    <w:p>
      <w:pPr>
        <w:pStyle w:val="BodyText"/>
      </w:pPr>
      <w:r>
        <w:t xml:space="preserve">EIX reported Q1 core EPS of $1.42 and reaffirmed 2026 guidance of</w:t>
      </w:r>
      <w:r>
        <w:t xml:space="preserve"> </w:t>
      </w:r>
      <m:oMath>
        <m:r>
          <m:t>5.90</m:t>
        </m:r>
        <m:r>
          <m:rPr>
            <m:sty m:val="p"/>
          </m:rPr>
          <m:t>–</m:t>
        </m:r>
      </m:oMath>
      <w:r>
        <w:t xml:space="preserve">6.20. Its longer-range outlook calls for 5%–7% annual core EPS growth through 2030, supported by approximately 7% rate-base growth. (</w:t>
      </w:r>
      <w:hyperlink r:id="rId12">
        <w:r>
          <w:rPr>
            <w:rStyle w:val="Hyperlink"/>
          </w:rPr>
          <w:t xml:space="preserve">download.edison.com</w:t>
        </w:r>
      </w:hyperlink>
      <w:r>
        <w:t xml:space="preserve">)</w:t>
      </w:r>
    </w:p>
    <w:p>
      <w:pPr>
        <w:pStyle w:val="BodyText"/>
      </w:pPr>
      <w:r>
        <w:t xml:space="preserve">If Q2 core EPS is around</w:t>
      </w:r>
      <w:r>
        <w:t xml:space="preserve"> </w:t>
      </w:r>
      <m:oMath>
        <m:r>
          <m:t>1.18</m:t>
        </m:r>
        <m:r>
          <m:rPr>
            <m:sty m:val="p"/>
          </m:rPr>
          <m:t>,</m:t>
        </m:r>
        <m:r>
          <m:t>E</m:t>
        </m:r>
        <m:r>
          <m:t>I</m:t>
        </m:r>
        <m:r>
          <m:t>X</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3.30–$3.60 of second-half EPS** to reach its full-year range. That is not inherently concerning given EIX’s earnings seasonality, but it makes management’s confidence in second-half cost and revenue assumptions important.</w:t>
      </w:r>
    </w:p>
    <w:p>
      <w:r>
        <w:pict>
          <v:rect style="width:0;height:1.5pt" o:hralign="center" o:hrstd="t" o:hr="t"/>
        </w:pict>
      </w:r>
    </w:p>
    <w:bookmarkEnd w:id="13"/>
    <w:bookmarkStart w:id="16" w:name="X9579916e4a12f443f4df7f2f7ceeabccba582cf"/>
    <w:p>
      <w:pPr>
        <w:pStyle w:val="Heading2"/>
      </w:pPr>
      <w:r>
        <w:t xml:space="preserve">1. Guidance quality matters more than the quarterly beat</w:t>
      </w:r>
    </w:p>
    <w:p>
      <w:pPr>
        <w:pStyle w:val="FirstParagraph"/>
      </w:pPr>
      <w:r>
        <w:t xml:space="preserve">The cleanest positive outcome would be:</w:t>
      </w:r>
    </w:p>
    <w:p>
      <w:pPr>
        <w:pStyle w:val="Compact"/>
        <w:numPr>
          <w:ilvl w:val="0"/>
          <w:numId w:val="1002"/>
        </w:numPr>
      </w:pPr>
      <w:r>
        <w:t xml:space="preserve">Q2 core EPS at or above the upper end of the public estimate range;</w:t>
      </w:r>
    </w:p>
    <w:p>
      <w:pPr>
        <w:pStyle w:val="Compact"/>
        <w:numPr>
          <w:ilvl w:val="0"/>
          <w:numId w:val="1002"/>
        </w:numPr>
      </w:pPr>
      <w:r>
        <w:t xml:space="preserve">reaffirmed or narrowed-up 2026 guidance;</w:t>
      </w:r>
    </w:p>
    <w:p>
      <w:pPr>
        <w:pStyle w:val="Compact"/>
        <w:numPr>
          <w:ilvl w:val="0"/>
          <w:numId w:val="1002"/>
        </w:numPr>
      </w:pPr>
      <w:r>
        <w:t xml:space="preserve">continued confidence in 2027 and 2028 targets;</w:t>
      </w:r>
    </w:p>
    <w:p>
      <w:pPr>
        <w:pStyle w:val="Compact"/>
        <w:numPr>
          <w:ilvl w:val="0"/>
          <w:numId w:val="1002"/>
        </w:numPr>
      </w:pPr>
      <w:r>
        <w:t xml:space="preserve">no change to the 385 million-share assumption; and</w:t>
      </w:r>
    </w:p>
    <w:p>
      <w:pPr>
        <w:pStyle w:val="Compact"/>
        <w:numPr>
          <w:ilvl w:val="0"/>
          <w:numId w:val="1002"/>
        </w:numPr>
      </w:pPr>
      <w:r>
        <w:t xml:space="preserve">no deterioration in the parent-company loss or financing outlook.</w:t>
      </w:r>
    </w:p>
    <w:p>
      <w:pPr>
        <w:pStyle w:val="FirstParagraph"/>
      </w:pPr>
      <w:r>
        <w:t xml:space="preserve">The existing 2026 midpoint of $6.05 represents only about 3.5% growth from management’s adjusted 2025 starting point. EIX has attributed the muted 2026 growth rate to several items that should not affect later periods, while describing 2027 growth as being near the high end of its 5%–7% long-term range. (</w:t>
      </w:r>
      <w:hyperlink r:id="rId14">
        <w:r>
          <w:rPr>
            <w:rStyle w:val="Hyperlink"/>
          </w:rPr>
          <w:t xml:space="preserve">download.edison.com</w:t>
        </w:r>
      </w:hyperlink>
      <w:r>
        <w:t xml:space="preserve">)</w:t>
      </w:r>
    </w:p>
    <w:bookmarkStart w:id="15" w:name="items-to-watch-in-the-eps-bridge"/>
    <w:p>
      <w:pPr>
        <w:pStyle w:val="Heading3"/>
      </w:pPr>
      <w:r>
        <w:t xml:space="preserve">Items to watch in the EPS bridge</w:t>
      </w:r>
    </w:p>
    <w:p>
      <w:pPr>
        <w:pStyle w:val="Compact"/>
        <w:numPr>
          <w:ilvl w:val="0"/>
          <w:numId w:val="1003"/>
        </w:numPr>
      </w:pPr>
      <w:r>
        <w:rPr>
          <w:b/>
          <w:bCs/>
        </w:rPr>
        <w:t xml:space="preserve">GRC-related revenue:</w:t>
      </w:r>
      <w:r>
        <w:t xml:space="preserve"> </w:t>
      </w:r>
      <w:r>
        <w:t xml:space="preserve">The approved 2025 General Rate Case should continue to support year-over-year utility revenue.</w:t>
      </w:r>
    </w:p>
    <w:p>
      <w:pPr>
        <w:pStyle w:val="Compact"/>
        <w:numPr>
          <w:ilvl w:val="0"/>
          <w:numId w:val="1003"/>
        </w:numPr>
      </w:pPr>
      <w:r>
        <w:rPr>
          <w:b/>
          <w:bCs/>
        </w:rPr>
        <w:t xml:space="preserve">Operations and maintenance expense:</w:t>
      </w:r>
      <w:r>
        <w:t xml:space="preserve"> </w:t>
      </w:r>
      <w:r>
        <w:t xml:space="preserve">Cost control is particularly important given California’s political focus on electric-bill affordability.</w:t>
      </w:r>
    </w:p>
    <w:p>
      <w:pPr>
        <w:pStyle w:val="Compact"/>
        <w:numPr>
          <w:ilvl w:val="0"/>
          <w:numId w:val="1003"/>
        </w:numPr>
      </w:pPr>
      <w:r>
        <w:rPr>
          <w:b/>
          <w:bCs/>
        </w:rPr>
        <w:t xml:space="preserve">Depreciation and property taxes:</w:t>
      </w:r>
      <w:r>
        <w:t xml:space="preserve"> </w:t>
      </w:r>
      <w:r>
        <w:t xml:space="preserve">Both should rise as the capital program expands.</w:t>
      </w:r>
    </w:p>
    <w:p>
      <w:pPr>
        <w:pStyle w:val="Compact"/>
        <w:numPr>
          <w:ilvl w:val="0"/>
          <w:numId w:val="1003"/>
        </w:numPr>
      </w:pPr>
      <w:r>
        <w:rPr>
          <w:b/>
          <w:bCs/>
        </w:rPr>
        <w:t xml:space="preserve">Interest expense:</w:t>
      </w:r>
      <w:r>
        <w:t xml:space="preserve"> </w:t>
      </w:r>
      <w:r>
        <w:t xml:space="preserve">This remains a meaningful offset to rate-base-driven earnings growth.</w:t>
      </w:r>
    </w:p>
    <w:p>
      <w:pPr>
        <w:pStyle w:val="Compact"/>
        <w:numPr>
          <w:ilvl w:val="0"/>
          <w:numId w:val="1003"/>
        </w:numPr>
      </w:pPr>
      <w:r>
        <w:rPr>
          <w:b/>
          <w:bCs/>
        </w:rPr>
        <w:t xml:space="preserve">EIX Parent and Other:</w:t>
      </w:r>
      <w:r>
        <w:t xml:space="preserve"> </w:t>
      </w:r>
      <w:r>
        <w:t xml:space="preserve">Guidance assumes a 2026 parent-level loss of</w:t>
      </w:r>
      <w:r>
        <w:t xml:space="preserve"> </w:t>
      </w:r>
      <m:oMath>
        <m:r>
          <m:t>0.87</m:t>
        </m:r>
        <m:r>
          <m:rPr>
            <m:sty m:val="p"/>
          </m:rPr>
          <m:t>–</m:t>
        </m:r>
      </m:oMath>
      <w:r>
        <w:t xml:space="preserve">0.91 per share.</w:t>
      </w:r>
    </w:p>
    <w:p>
      <w:pPr>
        <w:pStyle w:val="Compact"/>
        <w:numPr>
          <w:ilvl w:val="0"/>
          <w:numId w:val="1003"/>
        </w:numPr>
      </w:pPr>
      <w:r>
        <w:rPr>
          <w:b/>
          <w:bCs/>
        </w:rPr>
        <w:t xml:space="preserve">Non-core wildfire items:</w:t>
      </w:r>
      <w:r>
        <w:t xml:space="preserve"> </w:t>
      </w:r>
      <w:r>
        <w:t xml:space="preserve">GAAP results may remain noisy and considerably less useful than core EPS.</w:t>
      </w:r>
    </w:p>
    <w:p>
      <w:pPr>
        <w:pStyle w:val="FirstParagraph"/>
      </w:pPr>
      <w:r>
        <w:t xml:space="preserve">In Q1, higher revenue contributed $0.52 per share year over year at SCE, but higher interest expense absorbed $0.34, with depreciation and other costs providing additional offsets. That pattern—strong regulated revenue growth accompanied by rising financing and asset costs—is likely to remain central to the Q2 bridge. (</w:t>
      </w:r>
      <w:hyperlink r:id="rId12">
        <w:r>
          <w:rPr>
            <w:rStyle w:val="Hyperlink"/>
          </w:rPr>
          <w:t xml:space="preserve">download.edison.com</w:t>
        </w:r>
      </w:hyperlink>
      <w:r>
        <w:t xml:space="preserve">)</w:t>
      </w:r>
    </w:p>
    <w:p>
      <w:pPr>
        <w:pStyle w:val="BodyText"/>
      </w:pPr>
      <w:r>
        <w:rPr>
          <w:b/>
          <w:bCs/>
        </w:rPr>
        <w:t xml:space="preserve">What would be disappointing:</w:t>
      </w:r>
      <w:r>
        <w:t xml:space="preserve"> </w:t>
      </w:r>
      <w:r>
        <w:t xml:space="preserve">A guidance reaffirmation that relies on unusually strong fourth-quarter earnings, higher-than-expected regulatory true-ups or a reduction in planned operating expenditures.</w:t>
      </w:r>
    </w:p>
    <w:p>
      <w:r>
        <w:pict>
          <v:rect style="width:0;height:1.5pt" o:hralign="center" o:hrstd="t" o:hr="t"/>
        </w:pict>
      </w:r>
    </w:p>
    <w:bookmarkEnd w:id="15"/>
    <w:bookmarkEnd w:id="16"/>
    <w:bookmarkStart w:id="20" w:name="X31a9aa104db29065f68c2f65c210fde8839bfcd"/>
    <w:p>
      <w:pPr>
        <w:pStyle w:val="Heading2"/>
      </w:pPr>
      <w:r>
        <w:t xml:space="preserve">2. Eaton Fire disclosures are the largest potential stock catalyst</w:t>
      </w:r>
    </w:p>
    <w:p>
      <w:pPr>
        <w:pStyle w:val="FirstParagraph"/>
      </w:pPr>
      <w:r>
        <w:t xml:space="preserve">The Eaton Fire remains the central source of uncertainty in the EIX investment case. At March 31, SCE had recorded</w:t>
      </w:r>
      <w:r>
        <w:t xml:space="preserve"> </w:t>
      </w:r>
      <w:r>
        <w:rPr>
          <w:b/>
          <w:bCs/>
        </w:rPr>
        <w:t xml:space="preserve">$1.3 billion of losses</w:t>
      </w:r>
      <w:r>
        <w:t xml:space="preserve"> </w:t>
      </w:r>
      <w:r>
        <w:t xml:space="preserve">related to Eaton settlements, with expected recoveries of $917 million from customer-funded self-insurance, $295 million from the Wildfire Fund and $70 million through FERC rates. EIX was still unable to estimate the broader range of potential losses. (</w:t>
      </w:r>
      <w:hyperlink r:id="rId17">
        <w:r>
          <w:rPr>
            <w:rStyle w:val="Hyperlink"/>
          </w:rPr>
          <w:t xml:space="preserve">sec.gov</w:t>
        </w:r>
      </w:hyperlink>
      <w:r>
        <w:t xml:space="preserve">)</w:t>
      </w:r>
    </w:p>
    <w:p>
      <w:pPr>
        <w:pStyle w:val="BodyText"/>
      </w:pPr>
      <w:r>
        <w:t xml:space="preserve">The compensation program has accelerated substantially:</w:t>
      </w:r>
    </w:p>
    <w:p>
      <w:pPr>
        <w:pStyle w:val="Compact"/>
        <w:numPr>
          <w:ilvl w:val="0"/>
          <w:numId w:val="1004"/>
        </w:numPr>
      </w:pPr>
      <w:r>
        <w:t xml:space="preserve">More than</w:t>
      </w:r>
      <w:r>
        <w:t xml:space="preserve"> </w:t>
      </w:r>
      <w:r>
        <w:rPr>
          <w:b/>
          <w:bCs/>
        </w:rPr>
        <w:t xml:space="preserve">3,900 claims</w:t>
      </w:r>
      <w:r>
        <w:t xml:space="preserve"> </w:t>
      </w:r>
      <w:r>
        <w:t xml:space="preserve">had been submitted as of July 16, representing nearly 12,000 individuals, trusts and legal entities.</w:t>
      </w:r>
    </w:p>
    <w:p>
      <w:pPr>
        <w:pStyle w:val="Compact"/>
        <w:numPr>
          <w:ilvl w:val="0"/>
          <w:numId w:val="1004"/>
        </w:numPr>
      </w:pPr>
      <w:r>
        <w:t xml:space="preserve">Offers to more than 5,200 claimants totaled over</w:t>
      </w:r>
      <w:r>
        <w:t xml:space="preserve"> </w:t>
      </w:r>
      <w:r>
        <w:rPr>
          <w:b/>
          <w:bCs/>
        </w:rPr>
        <w:t xml:space="preserve">$743 million</w:t>
      </w:r>
      <w:r>
        <w:t xml:space="preserve">.</w:t>
      </w:r>
    </w:p>
    <w:p>
      <w:pPr>
        <w:pStyle w:val="Compact"/>
        <w:numPr>
          <w:ilvl w:val="0"/>
          <w:numId w:val="1004"/>
        </w:numPr>
      </w:pPr>
      <w:r>
        <w:t xml:space="preserve">More than 2,100 claimants had been paid over</w:t>
      </w:r>
      <w:r>
        <w:t xml:space="preserve"> </w:t>
      </w:r>
      <w:r>
        <w:rPr>
          <w:b/>
          <w:bCs/>
        </w:rPr>
        <w:t xml:space="preserve">$314 million</w:t>
      </w:r>
      <w:r>
        <w:t xml:space="preserve">. (</w:t>
      </w:r>
      <w:hyperlink r:id="rId18">
        <w:r>
          <w:rPr>
            <w:rStyle w:val="Hyperlink"/>
          </w:rPr>
          <w:t xml:space="preserve">newsroom.edison.com</w:t>
        </w:r>
      </w:hyperlink>
      <w:r>
        <w:t xml:space="preserve">)</w:t>
      </w:r>
    </w:p>
    <w:p>
      <w:pPr>
        <w:pStyle w:val="FirstParagraph"/>
      </w:pPr>
      <w:r>
        <w:t xml:space="preserve">This compares with roughly $500 million of offers and more than $100 million paid when EIX last reported. The rapid increase should produce updated accruals, recoveries and cash-flow disclosures.</w:t>
      </w:r>
    </w:p>
    <w:bookmarkStart w:id="19" w:name="the-key-eaton-questions"/>
    <w:p>
      <w:pPr>
        <w:pStyle w:val="Heading3"/>
      </w:pPr>
      <w:r>
        <w:t xml:space="preserve">The key Eaton questions</w:t>
      </w:r>
    </w:p>
    <w:p>
      <w:pPr>
        <w:numPr>
          <w:ilvl w:val="0"/>
          <w:numId w:val="1005"/>
        </w:numPr>
      </w:pPr>
      <w:r>
        <w:rPr>
          <w:b/>
          <w:bCs/>
        </w:rPr>
        <w:t xml:space="preserve">Can EIX now estimate any portion of the total loss range?</w:t>
      </w:r>
      <w:r>
        <w:br/>
      </w:r>
      <w:r>
        <w:t xml:space="preserve">The emergence of an estimate would be a major event. The amount, funding assumptions and implied shareholder exposure would matter more than Q2 EPS.</w:t>
      </w:r>
    </w:p>
    <w:p>
      <w:pPr>
        <w:numPr>
          <w:ilvl w:val="0"/>
          <w:numId w:val="1005"/>
        </w:numPr>
      </w:pPr>
      <w:r>
        <w:rPr>
          <w:b/>
          <w:bCs/>
        </w:rPr>
        <w:t xml:space="preserve">How much additional loss was recognized during Q2?</w:t>
      </w:r>
      <w:r>
        <w:br/>
      </w:r>
      <w:r>
        <w:t xml:space="preserve">Investors should distinguish between amounts offered, accepted, paid and accrued.</w:t>
      </w:r>
    </w:p>
    <w:p>
      <w:pPr>
        <w:numPr>
          <w:ilvl w:val="0"/>
          <w:numId w:val="1005"/>
        </w:numPr>
      </w:pPr>
      <w:r>
        <w:rPr>
          <w:b/>
          <w:bCs/>
        </w:rPr>
        <w:t xml:space="preserve">Has SCE begun receiving Wildfire Fund reimbursements?</w:t>
      </w:r>
      <w:r>
        <w:br/>
      </w:r>
      <w:r>
        <w:t xml:space="preserve">SCE’s first $1 billion of eligible damages is principally covered by customer-funded self-insurance; eligible costs above that threshold can access the Wildfire Fund, subject to approval and claims-paying capacity. (</w:t>
      </w:r>
      <w:hyperlink r:id="rId17">
        <w:r>
          <w:rPr>
            <w:rStyle w:val="Hyperlink"/>
          </w:rPr>
          <w:t xml:space="preserve">sec.gov</w:t>
        </w:r>
      </w:hyperlink>
      <w:r>
        <w:t xml:space="preserve">)</w:t>
      </w:r>
    </w:p>
    <w:p>
      <w:pPr>
        <w:numPr>
          <w:ilvl w:val="0"/>
          <w:numId w:val="1005"/>
        </w:numPr>
      </w:pPr>
      <w:r>
        <w:rPr>
          <w:b/>
          <w:bCs/>
        </w:rPr>
        <w:t xml:space="preserve">Are program economics changing?</w:t>
      </w:r>
      <w:r>
        <w:br/>
      </w:r>
      <w:r>
        <w:t xml:space="preserve">Watch the average offer, acceptance rate, claim composition and participation by represented claimants.</w:t>
      </w:r>
    </w:p>
    <w:p>
      <w:pPr>
        <w:numPr>
          <w:ilvl w:val="0"/>
          <w:numId w:val="1005"/>
        </w:numPr>
      </w:pPr>
      <w:r>
        <w:rPr>
          <w:b/>
          <w:bCs/>
        </w:rPr>
        <w:t xml:space="preserve">Is the January 2027 bellwether trial still the relevant litigation timetable?</w:t>
      </w:r>
      <w:r>
        <w:br/>
      </w:r>
      <w:r>
        <w:t xml:space="preserve">As of the Q1 filing, SCE faced approximately 2,000 Eaton-related lawsuits representing roughly 30,000 individual plaintiffs, with a bellwether jury trial scheduled for January 2027. (</w:t>
      </w:r>
      <w:hyperlink r:id="rId17">
        <w:r>
          <w:rPr>
            <w:rStyle w:val="Hyperlink"/>
          </w:rPr>
          <w:t xml:space="preserve">sec.gov</w:t>
        </w:r>
      </w:hyperlink>
      <w:r>
        <w:t xml:space="preserve">)</w:t>
      </w:r>
    </w:p>
    <w:p>
      <w:pPr>
        <w:pStyle w:val="FirstParagraph"/>
      </w:pPr>
      <w:r>
        <w:t xml:space="preserve">A growing accounting loss is not necessarily a bearish development if it is accompanied by clear funding and efficient settlements. Conversely, a higher estimate that includes meaningful unrecoverable or shareholder-funded costs would alter the investment thesis.</w:t>
      </w:r>
    </w:p>
    <w:p>
      <w:r>
        <w:pict>
          <v:rect style="width:0;height:1.5pt" o:hralign="center" o:hrstd="t" o:hr="t"/>
        </w:pict>
      </w:r>
    </w:p>
    <w:bookmarkEnd w:id="19"/>
    <w:bookmarkEnd w:id="20"/>
    <w:bookmarkStart w:id="23" w:name="X57d61a48e7fc06c48aefa3fa364db2f38cf0e1a"/>
    <w:p>
      <w:pPr>
        <w:pStyle w:val="Heading2"/>
      </w:pPr>
      <w:r>
        <w:t xml:space="preserve">3. Wildfire legislation: the most important non-earnings issue</w:t>
      </w:r>
    </w:p>
    <w:p>
      <w:pPr>
        <w:pStyle w:val="FirstParagraph"/>
      </w:pPr>
      <w:r>
        <w:t xml:space="preserve">The California Earthquake Authority’s SB 254 study laid out several possible reforms, including:</w:t>
      </w:r>
    </w:p>
    <w:p>
      <w:pPr>
        <w:pStyle w:val="Compact"/>
        <w:numPr>
          <w:ilvl w:val="0"/>
          <w:numId w:val="1006"/>
        </w:numPr>
      </w:pPr>
      <w:r>
        <w:t xml:space="preserve">changes to inverse-condemnation liability;</w:t>
      </w:r>
    </w:p>
    <w:p>
      <w:pPr>
        <w:pStyle w:val="Compact"/>
        <w:numPr>
          <w:ilvl w:val="0"/>
          <w:numId w:val="1006"/>
        </w:numPr>
      </w:pPr>
      <w:r>
        <w:t xml:space="preserve">limits or modifications to recoverable damages;</w:t>
      </w:r>
    </w:p>
    <w:p>
      <w:pPr>
        <w:pStyle w:val="Compact"/>
        <w:numPr>
          <w:ilvl w:val="0"/>
          <w:numId w:val="1006"/>
        </w:numPr>
      </w:pPr>
      <w:r>
        <w:t xml:space="preserve">a “fast pay” mechanism for wildfire survivors;</w:t>
      </w:r>
    </w:p>
    <w:p>
      <w:pPr>
        <w:pStyle w:val="Compact"/>
        <w:numPr>
          <w:ilvl w:val="0"/>
          <w:numId w:val="1006"/>
        </w:numPr>
      </w:pPr>
      <w:r>
        <w:t xml:space="preserve">a more durable Wildfire Fund;</w:t>
      </w:r>
    </w:p>
    <w:p>
      <w:pPr>
        <w:pStyle w:val="Compact"/>
        <w:numPr>
          <w:ilvl w:val="0"/>
          <w:numId w:val="1006"/>
        </w:numPr>
      </w:pPr>
      <w:r>
        <w:t xml:space="preserve">broader funding sources; and</w:t>
      </w:r>
    </w:p>
    <w:p>
      <w:pPr>
        <w:pStyle w:val="Compact"/>
        <w:numPr>
          <w:ilvl w:val="0"/>
          <w:numId w:val="1006"/>
        </w:numPr>
      </w:pPr>
      <w:r>
        <w:t xml:space="preserve">combining a strengthened fund with liability reform. (</w:t>
      </w:r>
      <w:hyperlink r:id="rId21">
        <w:r>
          <w:rPr>
            <w:rStyle w:val="Hyperlink"/>
          </w:rPr>
          <w:t xml:space="preserve">sntr.senate.ca.gov</w:t>
        </w:r>
      </w:hyperlink>
      <w:r>
        <w:t xml:space="preserve">)</w:t>
      </w:r>
    </w:p>
    <w:p>
      <w:pPr>
        <w:pStyle w:val="FirstParagraph"/>
      </w:pPr>
      <w:r>
        <w:t xml:space="preserve">California’s 2026 legislative session is scheduled to conclude on</w:t>
      </w:r>
      <w:r>
        <w:t xml:space="preserve"> </w:t>
      </w:r>
      <w:r>
        <w:rPr>
          <w:b/>
          <w:bCs/>
        </w:rPr>
        <w:t xml:space="preserve">August 31</w:t>
      </w:r>
      <w:r>
        <w:t xml:space="preserve">, leaving a relatively narrow window after the earnings call. (</w:t>
      </w:r>
      <w:hyperlink r:id="rId22">
        <w:r>
          <w:rPr>
            <w:rStyle w:val="Hyperlink"/>
          </w:rPr>
          <w:t xml:space="preserve">senate.ca.gov</w:t>
        </w:r>
      </w:hyperlink>
      <w:r>
        <w:t xml:space="preserve">)</w:t>
      </w:r>
    </w:p>
    <w:p>
      <w:pPr>
        <w:pStyle w:val="BodyText"/>
      </w:pPr>
      <w:r>
        <w:t xml:space="preserve">Investors should listen for management’s assessment of:</w:t>
      </w:r>
    </w:p>
    <w:p>
      <w:pPr>
        <w:pStyle w:val="Compact"/>
        <w:numPr>
          <w:ilvl w:val="0"/>
          <w:numId w:val="1007"/>
        </w:numPr>
      </w:pPr>
      <w:r>
        <w:t xml:space="preserve">the likelihood of comprehensive legislation this year;</w:t>
      </w:r>
    </w:p>
    <w:p>
      <w:pPr>
        <w:pStyle w:val="Compact"/>
        <w:numPr>
          <w:ilvl w:val="0"/>
          <w:numId w:val="1007"/>
        </w:numPr>
      </w:pPr>
      <w:r>
        <w:t xml:space="preserve">which CEA proposals have political momentum;</w:t>
      </w:r>
    </w:p>
    <w:p>
      <w:pPr>
        <w:pStyle w:val="Compact"/>
        <w:numPr>
          <w:ilvl w:val="0"/>
          <w:numId w:val="1007"/>
        </w:numPr>
      </w:pPr>
      <w:r>
        <w:t xml:space="preserve">whether any proposal requires additional shareholder contributions;</w:t>
      </w:r>
    </w:p>
    <w:p>
      <w:pPr>
        <w:pStyle w:val="Compact"/>
        <w:numPr>
          <w:ilvl w:val="0"/>
          <w:numId w:val="1007"/>
        </w:numPr>
      </w:pPr>
      <w:r>
        <w:t xml:space="preserve">whether a successor or expanded Wildfire Fund would cover Eaton-related claims;</w:t>
      </w:r>
    </w:p>
    <w:p>
      <w:pPr>
        <w:pStyle w:val="Compact"/>
        <w:numPr>
          <w:ilvl w:val="0"/>
          <w:numId w:val="1007"/>
        </w:numPr>
      </w:pPr>
      <w:r>
        <w:t xml:space="preserve">how reform would change EIX’s credit profile and cost of capital; and</w:t>
      </w:r>
    </w:p>
    <w:p>
      <w:pPr>
        <w:pStyle w:val="Compact"/>
        <w:numPr>
          <w:ilvl w:val="0"/>
          <w:numId w:val="1007"/>
        </w:numPr>
      </w:pPr>
      <w:r>
        <w:t xml:space="preserve">whether inaction could affect future capital allocation.</w:t>
      </w:r>
    </w:p>
    <w:p>
      <w:pPr>
        <w:pStyle w:val="FirstParagraph"/>
      </w:pPr>
      <w:r>
        <w:t xml:space="preserve">Management previously warned that insufficient reform could eventually increase utility financing costs and require a reassessment of future capital allocation. Any moderation or escalation of that language could move the stock.</w:t>
      </w:r>
    </w:p>
    <w:p>
      <w:r>
        <w:pict>
          <v:rect style="width:0;height:1.5pt" o:hralign="center" o:hrstd="t" o:hr="t"/>
        </w:pict>
      </w:r>
    </w:p>
    <w:bookmarkEnd w:id="23"/>
    <w:bookmarkStart w:id="26" w:name="Xaf647d766817b313758c2e6325766359e046c20"/>
    <w:p>
      <w:pPr>
        <w:pStyle w:val="Heading2"/>
      </w:pPr>
      <w:r>
        <w:t xml:space="preserve">4. Capital investment and financing need to remain intact</w:t>
      </w:r>
    </w:p>
    <w:p>
      <w:pPr>
        <w:pStyle w:val="FirstParagraph"/>
      </w:pPr>
      <w:r>
        <w:t xml:space="preserve">EIX’s long-term earnings case rests on:</w:t>
      </w:r>
    </w:p>
    <w:p>
      <w:pPr>
        <w:pStyle w:val="Compact"/>
        <w:numPr>
          <w:ilvl w:val="0"/>
          <w:numId w:val="1008"/>
        </w:numPr>
      </w:pPr>
      <m:oMath>
        <m:r>
          <m:t>38</m:t>
        </m:r>
        <m:r>
          <m:rPr>
            <m:sty m:val="p"/>
          </m:rPr>
          <m:t>–</m:t>
        </m:r>
      </m:oMath>
      <w:r>
        <w:rPr>
          <w:b/>
          <w:bCs/>
        </w:rPr>
        <w:t xml:space="preserve">41 billion of capital expenditures from 2026 through 2030;</w:t>
      </w:r>
    </w:p>
    <w:p>
      <w:pPr>
        <w:pStyle w:val="Compact"/>
        <w:numPr>
          <w:ilvl w:val="0"/>
          <w:numId w:val="1008"/>
        </w:numPr>
      </w:pPr>
      <w:r>
        <w:t xml:space="preserve">approximately</w:t>
      </w:r>
      <w:r>
        <w:t xml:space="preserve"> </w:t>
      </w:r>
      <w:r>
        <w:rPr>
          <w:b/>
          <w:bCs/>
        </w:rPr>
        <w:t xml:space="preserve">7% SCE rate-base growth;</w:t>
      </w:r>
    </w:p>
    <w:p>
      <w:pPr>
        <w:pStyle w:val="Compact"/>
        <w:numPr>
          <w:ilvl w:val="0"/>
          <w:numId w:val="1008"/>
        </w:numPr>
      </w:pPr>
      <w:r>
        <w:t xml:space="preserve">5%–7% core EPS growth;</w:t>
      </w:r>
    </w:p>
    <w:p>
      <w:pPr>
        <w:pStyle w:val="Compact"/>
        <w:numPr>
          <w:ilvl w:val="0"/>
          <w:numId w:val="1008"/>
        </w:numPr>
      </w:pPr>
      <w:r>
        <w:t xml:space="preserve">no common-equity issuance through 2030; and</w:t>
      </w:r>
    </w:p>
    <w:p>
      <w:pPr>
        <w:pStyle w:val="Compact"/>
        <w:numPr>
          <w:ilvl w:val="0"/>
          <w:numId w:val="1008"/>
        </w:numPr>
      </w:pPr>
      <w:r>
        <w:t xml:space="preserve">a 15%–17% FFO-to-debt framework.</w:t>
      </w:r>
    </w:p>
    <w:p>
      <w:pPr>
        <w:pStyle w:val="FirstParagraph"/>
      </w:pPr>
      <w:r>
        <w:t xml:space="preserve">The capital plan includes the approved 2025 GRC, FERC transmission investments, Advanced Metering Infrastructure 2.0 and spending expected to be requested in the 2029 GRC. Approximately half of the proposed $3.1 billion AMI 2.0 program falls within the 2026–2030 plan. (</w:t>
      </w:r>
      <w:hyperlink r:id="rId12">
        <w:r>
          <w:rPr>
            <w:rStyle w:val="Hyperlink"/>
          </w:rPr>
          <w:t xml:space="preserve">download.edison.com</w:t>
        </w:r>
      </w:hyperlink>
      <w:r>
        <w:t xml:space="preserve">)</w:t>
      </w:r>
    </w:p>
    <w:p>
      <w:pPr>
        <w:pStyle w:val="BodyText"/>
      </w:pPr>
      <w:r>
        <w:t xml:space="preserve">SCE also filed its 2026 Risk Assessment and Mitigation Phase application on May 15. The RAMP filing is the first regulatory step toward the 2029–2032 GRC and addresses wildfire, reliability, cybersecurity and climate-adaptation spending. (</w:t>
      </w:r>
      <w:hyperlink r:id="rId24">
        <w:r>
          <w:rPr>
            <w:rStyle w:val="Hyperlink"/>
          </w:rPr>
          <w:t xml:space="preserve">cpuc.ca.gov</w:t>
        </w:r>
      </w:hyperlink>
      <w:r>
        <w:t xml:space="preserve">)</w:t>
      </w:r>
    </w:p>
    <w:bookmarkStart w:id="25" w:name="watch-for-changes-in"/>
    <w:p>
      <w:pPr>
        <w:pStyle w:val="Heading3"/>
      </w:pPr>
      <w:r>
        <w:t xml:space="preserve">Watch for changes in:</w:t>
      </w:r>
    </w:p>
    <w:p>
      <w:pPr>
        <w:pStyle w:val="Compact"/>
        <w:numPr>
          <w:ilvl w:val="0"/>
          <w:numId w:val="1009"/>
        </w:numPr>
      </w:pPr>
      <w:r>
        <w:t xml:space="preserve">2026 capital-spending execution;</w:t>
      </w:r>
    </w:p>
    <w:p>
      <w:pPr>
        <w:pStyle w:val="Compact"/>
        <w:numPr>
          <w:ilvl w:val="0"/>
          <w:numId w:val="1009"/>
        </w:numPr>
      </w:pPr>
      <w:r>
        <w:t xml:space="preserve">project delays or permitting constraints;</w:t>
      </w:r>
    </w:p>
    <w:p>
      <w:pPr>
        <w:pStyle w:val="Compact"/>
        <w:numPr>
          <w:ilvl w:val="0"/>
          <w:numId w:val="1009"/>
        </w:numPr>
      </w:pPr>
      <w:r>
        <w:t xml:space="preserve">contractor and equipment costs;</w:t>
      </w:r>
    </w:p>
    <w:p>
      <w:pPr>
        <w:pStyle w:val="Compact"/>
        <w:numPr>
          <w:ilvl w:val="0"/>
          <w:numId w:val="1009"/>
        </w:numPr>
      </w:pPr>
      <w:r>
        <w:t xml:space="preserve">tariff or supply-chain exposure;</w:t>
      </w:r>
    </w:p>
    <w:p>
      <w:pPr>
        <w:pStyle w:val="Compact"/>
        <w:numPr>
          <w:ilvl w:val="0"/>
          <w:numId w:val="1009"/>
        </w:numPr>
      </w:pPr>
      <w:r>
        <w:t xml:space="preserve">debt-financing rates;</w:t>
      </w:r>
    </w:p>
    <w:p>
      <w:pPr>
        <w:pStyle w:val="Compact"/>
        <w:numPr>
          <w:ilvl w:val="0"/>
          <w:numId w:val="1009"/>
        </w:numPr>
      </w:pPr>
      <w:r>
        <w:t xml:space="preserve">the timing of historical cost recoveries and Woolsey securitization;</w:t>
      </w:r>
    </w:p>
    <w:p>
      <w:pPr>
        <w:pStyle w:val="Compact"/>
        <w:numPr>
          <w:ilvl w:val="0"/>
          <w:numId w:val="1009"/>
        </w:numPr>
      </w:pPr>
      <w:r>
        <w:t xml:space="preserve">AMI 2.0 procedural timing; and</w:t>
      </w:r>
    </w:p>
    <w:p>
      <w:pPr>
        <w:pStyle w:val="Compact"/>
        <w:numPr>
          <w:ilvl w:val="0"/>
          <w:numId w:val="1009"/>
        </w:numPr>
      </w:pPr>
      <w:r>
        <w:t xml:space="preserve">the “no equity” commitment.</w:t>
      </w:r>
    </w:p>
    <w:p>
      <w:pPr>
        <w:pStyle w:val="FirstParagraph"/>
      </w:pPr>
      <w:r>
        <w:t xml:space="preserve">The no-equity plan is an important differentiator. Any qualification—particularly one linked to Eaton claims, legislation or credit metrics—would likely outweigh an otherwise solid quarterly result.</w:t>
      </w:r>
    </w:p>
    <w:p>
      <w:r>
        <w:pict>
          <v:rect style="width:0;height:1.5pt" o:hralign="center" o:hrstd="t" o:hr="t"/>
        </w:pict>
      </w:r>
    </w:p>
    <w:bookmarkEnd w:id="25"/>
    <w:bookmarkEnd w:id="26"/>
    <w:bookmarkStart w:id="27" w:name="X4681d8700591da6aa77976788abb09fcb7eb745"/>
    <w:p>
      <w:pPr>
        <w:pStyle w:val="Heading2"/>
      </w:pPr>
      <w:r>
        <w:t xml:space="preserve">5. Affordability and regulatory execution</w:t>
      </w:r>
    </w:p>
    <w:p>
      <w:pPr>
        <w:pStyle w:val="FirstParagraph"/>
      </w:pPr>
      <w:r>
        <w:t xml:space="preserve">California utility affordability has become a prominent political issue. EIX argues that SCE has the lowest system-average rate among the state’s large investor-owned utilities and has targeted rate increases at or below inflation through 2030.</w:t>
      </w:r>
    </w:p>
    <w:p>
      <w:pPr>
        <w:pStyle w:val="BodyText"/>
      </w:pPr>
      <w:r>
        <w:t xml:space="preserve">The earnings call should clarify whether affordability pressure is changing:</w:t>
      </w:r>
    </w:p>
    <w:p>
      <w:pPr>
        <w:pStyle w:val="Compact"/>
        <w:numPr>
          <w:ilvl w:val="0"/>
          <w:numId w:val="1010"/>
        </w:numPr>
      </w:pPr>
      <w:r>
        <w:t xml:space="preserve">the composition or pace of capital expenditures;</w:t>
      </w:r>
    </w:p>
    <w:p>
      <w:pPr>
        <w:pStyle w:val="Compact"/>
        <w:numPr>
          <w:ilvl w:val="0"/>
          <w:numId w:val="1010"/>
        </w:numPr>
      </w:pPr>
      <w:r>
        <w:t xml:space="preserve">authorized versus actual O&amp;M spending;</w:t>
      </w:r>
    </w:p>
    <w:p>
      <w:pPr>
        <w:pStyle w:val="Compact"/>
        <w:numPr>
          <w:ilvl w:val="0"/>
          <w:numId w:val="1010"/>
        </w:numPr>
      </w:pPr>
      <w:r>
        <w:t xml:space="preserve">AMI 2.0 expectations;</w:t>
      </w:r>
    </w:p>
    <w:p>
      <w:pPr>
        <w:pStyle w:val="Compact"/>
        <w:numPr>
          <w:ilvl w:val="0"/>
          <w:numId w:val="1010"/>
        </w:numPr>
      </w:pPr>
      <w:r>
        <w:t xml:space="preserve">wildfire-mitigation investments;</w:t>
      </w:r>
    </w:p>
    <w:p>
      <w:pPr>
        <w:pStyle w:val="Compact"/>
        <w:numPr>
          <w:ilvl w:val="0"/>
          <w:numId w:val="1010"/>
        </w:numPr>
      </w:pPr>
      <w:r>
        <w:t xml:space="preserve">cost-recovery timing; or</w:t>
      </w:r>
    </w:p>
    <w:p>
      <w:pPr>
        <w:pStyle w:val="Compact"/>
        <w:numPr>
          <w:ilvl w:val="0"/>
          <w:numId w:val="1010"/>
        </w:numPr>
      </w:pPr>
      <w:r>
        <w:t xml:space="preserve">the planned 2029 GRC request.</w:t>
      </w:r>
    </w:p>
    <w:p>
      <w:pPr>
        <w:pStyle w:val="FirstParagraph"/>
      </w:pPr>
      <w:r>
        <w:t xml:space="preserve">A favorable message would be that operating efficiencies and load growth allow EIX to preserve both its investment program and customer-rate trajectory. A less favorable message would be that political pressure is beginning to constrain otherwise recoverable investment.</w:t>
      </w:r>
    </w:p>
    <w:p>
      <w:r>
        <w:pict>
          <v:rect style="width:0;height:1.5pt" o:hralign="center" o:hrstd="t" o:hr="t"/>
        </w:pict>
      </w:r>
    </w:p>
    <w:bookmarkEnd w:id="27"/>
    <w:bookmarkStart w:id="29" w:name="Xb301ef9611d0af532f481fd5d4432ff4d740f10"/>
    <w:p>
      <w:pPr>
        <w:pStyle w:val="Heading2"/>
      </w:pPr>
      <w:r>
        <w:t xml:space="preserve">6. First earnings call with Aaron Moss as CFO</w:t>
      </w:r>
    </w:p>
    <w:p>
      <w:pPr>
        <w:pStyle w:val="FirstParagraph"/>
      </w:pPr>
      <w:r>
        <w:t xml:space="preserve">Aaron Moss became EIX’s CFO effective July 3 after serving as SCE’s CFO. Maria Rigatti remains an executive vice president through her planned September 1 retirement. (</w:t>
      </w:r>
      <w:hyperlink r:id="rId28">
        <w:r>
          <w:rPr>
            <w:rStyle w:val="Hyperlink"/>
          </w:rPr>
          <w:t xml:space="preserve">sec.gov</w:t>
        </w:r>
      </w:hyperlink>
      <w:r>
        <w:t xml:space="preserve">)</w:t>
      </w:r>
    </w:p>
    <w:p>
      <w:pPr>
        <w:pStyle w:val="BodyText"/>
      </w:pPr>
      <w:r>
        <w:t xml:space="preserve">The transition should be low risk because Moss already has substantial experience with SCE’s regulatory, operational and financing model. Nevertheless, investors will look for his priorities concerning:</w:t>
      </w:r>
    </w:p>
    <w:p>
      <w:pPr>
        <w:pStyle w:val="Compact"/>
        <w:numPr>
          <w:ilvl w:val="0"/>
          <w:numId w:val="1011"/>
        </w:numPr>
      </w:pPr>
      <w:r>
        <w:t xml:space="preserve">balance-sheet management;</w:t>
      </w:r>
    </w:p>
    <w:p>
      <w:pPr>
        <w:pStyle w:val="Compact"/>
        <w:numPr>
          <w:ilvl w:val="0"/>
          <w:numId w:val="1011"/>
        </w:numPr>
      </w:pPr>
      <w:r>
        <w:t xml:space="preserve">wildfire funding and recoveries;</w:t>
      </w:r>
    </w:p>
    <w:p>
      <w:pPr>
        <w:pStyle w:val="Compact"/>
        <w:numPr>
          <w:ilvl w:val="0"/>
          <w:numId w:val="1011"/>
        </w:numPr>
      </w:pPr>
      <w:r>
        <w:t xml:space="preserve">parent-level financing costs;</w:t>
      </w:r>
    </w:p>
    <w:p>
      <w:pPr>
        <w:pStyle w:val="Compact"/>
        <w:numPr>
          <w:ilvl w:val="0"/>
          <w:numId w:val="1011"/>
        </w:numPr>
      </w:pPr>
      <w:r>
        <w:t xml:space="preserve">capital allocation;</w:t>
      </w:r>
    </w:p>
    <w:p>
      <w:pPr>
        <w:pStyle w:val="Compact"/>
        <w:numPr>
          <w:ilvl w:val="0"/>
          <w:numId w:val="1011"/>
        </w:numPr>
      </w:pPr>
      <w:r>
        <w:t xml:space="preserve">cost control; and</w:t>
      </w:r>
    </w:p>
    <w:p>
      <w:pPr>
        <w:pStyle w:val="Compact"/>
        <w:numPr>
          <w:ilvl w:val="0"/>
          <w:numId w:val="1011"/>
        </w:numPr>
      </w:pPr>
      <w:r>
        <w:t xml:space="preserve">disclosure around Eaton Fire claims.</w:t>
      </w:r>
    </w:p>
    <w:p>
      <w:r>
        <w:pict>
          <v:rect style="width:0;height:1.5pt" o:hralign="center" o:hrstd="t" o:hr="t"/>
        </w:pict>
      </w:r>
    </w:p>
    <w:bookmarkEnd w:id="29"/>
    <w:bookmarkStart w:id="33" w:name="likely-share-price-reaction-framework"/>
    <w:p>
      <w:pPr>
        <w:pStyle w:val="Heading2"/>
      </w:pPr>
      <w:r>
        <w:t xml:space="preserve">Likely share-price reaction framework</w:t>
      </w:r>
    </w:p>
    <w:bookmarkStart w:id="30" w:name="bull-case"/>
    <w:p>
      <w:pPr>
        <w:pStyle w:val="Heading3"/>
      </w:pPr>
      <w:r>
        <w:t xml:space="preserve">Bull case</w:t>
      </w:r>
    </w:p>
    <w:p>
      <w:pPr>
        <w:pStyle w:val="Compact"/>
        <w:numPr>
          <w:ilvl w:val="0"/>
          <w:numId w:val="1012"/>
        </w:numPr>
      </w:pPr>
      <w:r>
        <w:t xml:space="preserve">Core EPS above approximately $1.20.</w:t>
      </w:r>
    </w:p>
    <w:p>
      <w:pPr>
        <w:pStyle w:val="Compact"/>
        <w:numPr>
          <w:ilvl w:val="0"/>
          <w:numId w:val="1012"/>
        </w:numPr>
      </w:pPr>
      <w:r>
        <w:t xml:space="preserve">2026 guidance narrowed toward the upper half or raised.</w:t>
      </w:r>
    </w:p>
    <w:p>
      <w:pPr>
        <w:pStyle w:val="Compact"/>
        <w:numPr>
          <w:ilvl w:val="0"/>
          <w:numId w:val="1012"/>
        </w:numPr>
      </w:pPr>
      <w:r>
        <w:t xml:space="preserve">2027–2028 guidance and no-equity commitment reaffirmed.</w:t>
      </w:r>
    </w:p>
    <w:p>
      <w:pPr>
        <w:pStyle w:val="Compact"/>
        <w:numPr>
          <w:ilvl w:val="0"/>
          <w:numId w:val="1012"/>
        </w:numPr>
      </w:pPr>
      <w:r>
        <w:t xml:space="preserve">Eaton accrual increases are fully matched by credible recoveries.</w:t>
      </w:r>
    </w:p>
    <w:p>
      <w:pPr>
        <w:pStyle w:val="Compact"/>
        <w:numPr>
          <w:ilvl w:val="0"/>
          <w:numId w:val="1012"/>
        </w:numPr>
      </w:pPr>
      <w:r>
        <w:t xml:space="preserve">Management becomes more optimistic about wildfire reform.</w:t>
      </w:r>
    </w:p>
    <w:p>
      <w:pPr>
        <w:pStyle w:val="Compact"/>
        <w:numPr>
          <w:ilvl w:val="0"/>
          <w:numId w:val="1012"/>
        </w:numPr>
      </w:pPr>
      <w:r>
        <w:t xml:space="preserve">Capital spending and historical cost recoveries remain on schedule.</w:t>
      </w:r>
    </w:p>
    <w:bookmarkEnd w:id="30"/>
    <w:bookmarkStart w:id="31" w:name="base-case"/>
    <w:p>
      <w:pPr>
        <w:pStyle w:val="Heading3"/>
      </w:pPr>
      <w:r>
        <w:t xml:space="preserve">Base case</w:t>
      </w:r>
    </w:p>
    <w:p>
      <w:pPr>
        <w:pStyle w:val="Compact"/>
        <w:numPr>
          <w:ilvl w:val="0"/>
          <w:numId w:val="1013"/>
        </w:numPr>
      </w:pPr>
      <w:r>
        <w:t xml:space="preserve">EPS around</w:t>
      </w:r>
      <w:r>
        <w:t xml:space="preserve"> </w:t>
      </w:r>
      <m:oMath>
        <m:r>
          <m:t>1.10</m:t>
        </m:r>
        <m:r>
          <m:rPr>
            <m:sty m:val="p"/>
          </m:rPr>
          <m:t>–</m:t>
        </m:r>
      </m:oMath>
      <w:r>
        <w:t xml:space="preserve">1.20.</w:t>
      </w:r>
    </w:p>
    <w:p>
      <w:pPr>
        <w:pStyle w:val="Compact"/>
        <w:numPr>
          <w:ilvl w:val="0"/>
          <w:numId w:val="1013"/>
        </w:numPr>
      </w:pPr>
      <w:r>
        <w:t xml:space="preserve">All earnings and capital guidance reaffirmed.</w:t>
      </w:r>
    </w:p>
    <w:p>
      <w:pPr>
        <w:pStyle w:val="Compact"/>
        <w:numPr>
          <w:ilvl w:val="0"/>
          <w:numId w:val="1013"/>
        </w:numPr>
      </w:pPr>
      <w:r>
        <w:t xml:space="preserve">Eaton claims continue to grow, but EIX remains unable to estimate total losses.</w:t>
      </w:r>
    </w:p>
    <w:p>
      <w:pPr>
        <w:pStyle w:val="Compact"/>
        <w:numPr>
          <w:ilvl w:val="0"/>
          <w:numId w:val="1013"/>
        </w:numPr>
      </w:pPr>
      <w:r>
        <w:t xml:space="preserve">Management reiterates that available funding protects the balance sheet.</w:t>
      </w:r>
    </w:p>
    <w:p>
      <w:pPr>
        <w:pStyle w:val="Compact"/>
        <w:numPr>
          <w:ilvl w:val="0"/>
          <w:numId w:val="1013"/>
        </w:numPr>
      </w:pPr>
      <w:r>
        <w:t xml:space="preserve">No meaningful legislative update until August.</w:t>
      </w:r>
    </w:p>
    <w:p>
      <w:pPr>
        <w:pStyle w:val="FirstParagraph"/>
      </w:pPr>
      <w:r>
        <w:t xml:space="preserve">This would be fundamentally acceptable, although the stock reaction could be muted after its strong year-to-date performance.</w:t>
      </w:r>
    </w:p>
    <w:bookmarkEnd w:id="31"/>
    <w:bookmarkStart w:id="32" w:name="bear-case"/>
    <w:p>
      <w:pPr>
        <w:pStyle w:val="Heading3"/>
      </w:pPr>
      <w:r>
        <w:t xml:space="preserve">Bear case</w:t>
      </w:r>
    </w:p>
    <w:p>
      <w:pPr>
        <w:pStyle w:val="Compact"/>
        <w:numPr>
          <w:ilvl w:val="0"/>
          <w:numId w:val="1014"/>
        </w:numPr>
      </w:pPr>
      <w:r>
        <w:t xml:space="preserve">Core EPS below roughly $1.05, with higher O&amp;M or financing costs.</w:t>
      </w:r>
    </w:p>
    <w:p>
      <w:pPr>
        <w:pStyle w:val="Compact"/>
        <w:numPr>
          <w:ilvl w:val="0"/>
          <w:numId w:val="1014"/>
        </w:numPr>
      </w:pPr>
      <w:r>
        <w:t xml:space="preserve">Full-year guidance becomes more back-end-loaded or is reduced.</w:t>
      </w:r>
    </w:p>
    <w:p>
      <w:pPr>
        <w:pStyle w:val="Compact"/>
        <w:numPr>
          <w:ilvl w:val="0"/>
          <w:numId w:val="1014"/>
        </w:numPr>
      </w:pPr>
      <w:r>
        <w:t xml:space="preserve">EIX recognizes substantial incremental Eaton costs without corresponding recoveries.</w:t>
      </w:r>
    </w:p>
    <w:p>
      <w:pPr>
        <w:pStyle w:val="Compact"/>
        <w:numPr>
          <w:ilvl w:val="0"/>
          <w:numId w:val="1014"/>
        </w:numPr>
      </w:pPr>
      <w:r>
        <w:t xml:space="preserve">Management identifies potential shareholder exposure or financing pressure.</w:t>
      </w:r>
    </w:p>
    <w:p>
      <w:pPr>
        <w:pStyle w:val="Compact"/>
        <w:numPr>
          <w:ilvl w:val="0"/>
          <w:numId w:val="1014"/>
        </w:numPr>
      </w:pPr>
      <w:r>
        <w:t xml:space="preserve">Wildfire-reform confidence weakens.</w:t>
      </w:r>
    </w:p>
    <w:p>
      <w:pPr>
        <w:pStyle w:val="Compact"/>
        <w:numPr>
          <w:ilvl w:val="0"/>
          <w:numId w:val="1014"/>
        </w:numPr>
      </w:pPr>
      <w:r>
        <w:t xml:space="preserve">The capital plan, credit framework or no-equity commitment is qualified.</w:t>
      </w:r>
    </w:p>
    <w:p>
      <w:r>
        <w:pict>
          <v:rect style="width:0;height:1.5pt" o:hralign="center" o:hrstd="t" o:hr="t"/>
        </w:pict>
      </w:r>
    </w:p>
    <w:bookmarkEnd w:id="32"/>
    <w:bookmarkEnd w:id="33"/>
    <w:bookmarkStart w:id="34" w:name="bottom-line"/>
    <w:p>
      <w:pPr>
        <w:pStyle w:val="Heading2"/>
      </w:pPr>
      <w:r>
        <w:t xml:space="preserve">Bottom line</w:t>
      </w:r>
    </w:p>
    <w:p>
      <w:pPr>
        <w:pStyle w:val="FirstParagraph"/>
      </w:pPr>
      <w:r>
        <w:rPr>
          <w:b/>
          <w:bCs/>
        </w:rPr>
        <w:t xml:space="preserve">The report is principally a test of de-risking, not quarterly earnings momentum.</w:t>
      </w:r>
    </w:p>
    <w:p>
      <w:pPr>
        <w:pStyle w:val="BodyText"/>
      </w:pPr>
      <w:r>
        <w:t xml:space="preserve">The regulated earnings outlook is comparatively visible: EIX has an approved GRC, a large capital program, approximately 7% projected rate-base growth and multi-year EPS guidance. The unresolved issue is whether Eaton Fire liabilities and California’s wildfire framework can be managed without impairing that outlook.</w:t>
      </w:r>
    </w:p>
    <w:p>
      <w:pPr>
        <w:pStyle w:val="BodyText"/>
      </w:pPr>
      <w:r>
        <w:t xml:space="preserve">A clean report would consist of a modest EPS beat, unchanged or improved guidance, continued capital-plan execution and no adverse change in Eaton funding assumptions. The strongest possible catalyst would be improved visibility into wildfire reform or a clearer, manageable Eaton liability range.</w:t>
      </w:r>
    </w:p>
    <w:p>
      <w:pPr>
        <w:pStyle w:val="BodyText"/>
      </w:pPr>
      <w:r>
        <w:t xml:space="preserve">At approximately</w:t>
      </w:r>
      <w:r>
        <w:t xml:space="preserve"> </w:t>
      </w:r>
      <w:r>
        <w:rPr>
          <w:b/>
          <w:bCs/>
        </w:rPr>
        <w:t xml:space="preserve">13 times the 2026 guidance midpoint</w:t>
      </w:r>
      <w:r>
        <w:t xml:space="preserve"> </w:t>
      </w:r>
      <w:r>
        <w:t xml:space="preserve">and an indicated dividend yield of roughly</w:t>
      </w:r>
      <w:r>
        <w:t xml:space="preserve"> </w:t>
      </w:r>
      <w:r>
        <w:rPr>
          <w:b/>
          <w:bCs/>
        </w:rPr>
        <w:t xml:space="preserve">4.5%</w:t>
      </w:r>
      <w:r>
        <w:t xml:space="preserve">, the shares do not require perfection. But after the roughly 31% year-to-date advance, they likely require evidence that the remaining wildfire discount can continue to shrink—not merely another routine earnings beat.</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https://download.edison.com/406/files/202604/04b7f008c0a3093b9feef2dffd5de70f/eix-first-quarter-2026-financial-results-presentation.pdf?AWSAccessKeyId=AKIATACLJRQCWOP6ZJOW&amp;Expires=1779849679&amp;Signature=k8CTD9JGfylR6Nn9PDE9eVBkLso%3D&amp;response-content-disposition=attachment&amp;versionId=Db9lnQAlxLxjhRNW2VxiyE9xZUzlwtks" TargetMode="External" /><Relationship Type="http://schemas.openxmlformats.org/officeDocument/2006/relationships/hyperlink" Id="rId14" Target="https://download.edison.com/406/files/20263/3364725cb1f85c4c0b8293fc9b5a77e5/eix-april-2026-business-update.pdf?AWSAccessKeyId=AKIATACLJRQCWOP6ZJOW&amp;Expires=1779996649&amp;Signature=G0EGh8EunL0NmmRbocOC%2BTKyqiM%3D&amp;response-content-disposition=attachment&amp;versionId=SiNv3PWjFYRUSOoupjFqK8v04tzDZKJv" TargetMode="External" /><Relationship Type="http://schemas.openxmlformats.org/officeDocument/2006/relationships/hyperlink" Id="rId9" Target="https://newsroom.edison.com/releases/edison-international-to-hold-conference-call-on-second-quarter-2026-financial-results" TargetMode="External" /><Relationship Type="http://schemas.openxmlformats.org/officeDocument/2006/relationships/hyperlink" Id="rId18" Target="https://newsroom.edison.com/releases/southern-california-edison-exceeds-750-million-in-relief-offered-for-eaton-fire-impacts" TargetMode="External" /><Relationship Type="http://schemas.openxmlformats.org/officeDocument/2006/relationships/hyperlink" Id="rId21" Target="https://sntr.senate.ca.gov/system/files/2026-05/sb-254-report-es.pdf" TargetMode="External" /><Relationship Type="http://schemas.openxmlformats.org/officeDocument/2006/relationships/hyperlink" Id="rId11" Target="https://tickerleague.com/companies/EIX/estimates?utm_source=openai" TargetMode="External" /><Relationship Type="http://schemas.openxmlformats.org/officeDocument/2006/relationships/hyperlink" Id="rId24" Target="https://www.cpuc.ca.gov/about-cpuc/divisions/safety-policy-division/risk-assessment-and-safety-analytics/risk-assessment-and-mitigation-phase/sce-ramp/sce-2026-ramp" TargetMode="External" /><Relationship Type="http://schemas.openxmlformats.org/officeDocument/2006/relationships/hyperlink" Id="rId28" Target="https://www.sec.gov/Archives/edgar/data/827052/000082705226000028/eix-20260420x8k.htm" TargetMode="External" /><Relationship Type="http://schemas.openxmlformats.org/officeDocument/2006/relationships/hyperlink" Id="rId17" Target="https://www.sec.gov/Archives/edgar/data/827052/000082705226000042/eix-20260331.htm" TargetMode="External" /><Relationship Type="http://schemas.openxmlformats.org/officeDocument/2006/relationships/hyperlink" Id="rId22" Target="https://www.senate.ca.gov/legislative-deadlines-calendar?utm_source=openai" TargetMode="External" /></Relationships>
</file>

<file path=word/_rels/footnotes.xml.rels><?xml version="1.0" encoding="UTF-8"?><Relationships xmlns="http://schemas.openxmlformats.org/package/2006/relationships"><Relationship Type="http://schemas.openxmlformats.org/officeDocument/2006/relationships/hyperlink" Id="rId12" Target="https://download.edison.com/406/files/202604/04b7f008c0a3093b9feef2dffd5de70f/eix-first-quarter-2026-financial-results-presentation.pdf?AWSAccessKeyId=AKIATACLJRQCWOP6ZJOW&amp;Expires=1779849679&amp;Signature=k8CTD9JGfylR6Nn9PDE9eVBkLso%3D&amp;response-content-disposition=attachment&amp;versionId=Db9lnQAlxLxjhRNW2VxiyE9xZUzlwtks" TargetMode="External" /><Relationship Type="http://schemas.openxmlformats.org/officeDocument/2006/relationships/hyperlink" Id="rId14" Target="https://download.edison.com/406/files/20263/3364725cb1f85c4c0b8293fc9b5a77e5/eix-april-2026-business-update.pdf?AWSAccessKeyId=AKIATACLJRQCWOP6ZJOW&amp;Expires=1779996649&amp;Signature=G0EGh8EunL0NmmRbocOC%2BTKyqiM%3D&amp;response-content-disposition=attachment&amp;versionId=SiNv3PWjFYRUSOoupjFqK8v04tzDZKJv" TargetMode="External" /><Relationship Type="http://schemas.openxmlformats.org/officeDocument/2006/relationships/hyperlink" Id="rId9" Target="https://newsroom.edison.com/releases/edison-international-to-hold-conference-call-on-second-quarter-2026-financial-results" TargetMode="External" /><Relationship Type="http://schemas.openxmlformats.org/officeDocument/2006/relationships/hyperlink" Id="rId18" Target="https://newsroom.edison.com/releases/southern-california-edison-exceeds-750-million-in-relief-offered-for-eaton-fire-impacts" TargetMode="External" /><Relationship Type="http://schemas.openxmlformats.org/officeDocument/2006/relationships/hyperlink" Id="rId21" Target="https://sntr.senate.ca.gov/system/files/2026-05/sb-254-report-es.pdf" TargetMode="External" /><Relationship Type="http://schemas.openxmlformats.org/officeDocument/2006/relationships/hyperlink" Id="rId11" Target="https://tickerleague.com/companies/EIX/estimates?utm_source=openai" TargetMode="External" /><Relationship Type="http://schemas.openxmlformats.org/officeDocument/2006/relationships/hyperlink" Id="rId24" Target="https://www.cpuc.ca.gov/about-cpuc/divisions/safety-policy-division/risk-assessment-and-safety-analytics/risk-assessment-and-mitigation-phase/sce-ramp/sce-2026-ramp" TargetMode="External" /><Relationship Type="http://schemas.openxmlformats.org/officeDocument/2006/relationships/hyperlink" Id="rId28" Target="https://www.sec.gov/Archives/edgar/data/827052/000082705226000028/eix-20260420x8k.htm" TargetMode="External" /><Relationship Type="http://schemas.openxmlformats.org/officeDocument/2006/relationships/hyperlink" Id="rId17" Target="https://www.sec.gov/Archives/edgar/data/827052/000082705226000042/eix-20260331.htm" TargetMode="External" /><Relationship Type="http://schemas.openxmlformats.org/officeDocument/2006/relationships/hyperlink" Id="rId22" Target="https://www.senate.ca.gov/legislative-deadlines-calendar?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2026-07-29T19:18:26Z</dcterms:created>
  <dcterms:modified xsi:type="dcterms:W3CDTF">2026-07-29T19:18:26Z</dcterms:modified>
</cp:coreProperties>
</file>

<file path=docProps/custom.xml><?xml version="1.0" encoding="utf-8"?>
<Properties xmlns="http://schemas.openxmlformats.org/officeDocument/2006/custom-properties" xmlns:vt="http://schemas.openxmlformats.org/officeDocument/2006/docPropsVTypes"/>
</file>