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6" w:name="Xb29918ec53ffbe8e781cd269a40aa4bea74f775"/>
    <w:p>
      <w:pPr>
        <w:pStyle w:val="Heading1"/>
      </w:pPr>
      <w:r>
        <w:t xml:space="preserve">Edison International (NYSE: EIX) — 2Q26 Earnings Preview</w:t>
      </w:r>
    </w:p>
    <w:p>
      <w:pPr>
        <w:pStyle w:val="FirstParagraph"/>
      </w:pPr>
      <w:r>
        <w:rPr>
          <w:b/>
          <w:bCs/>
        </w:rPr>
        <w:t xml:space="preserve">Event:</w:t>
      </w:r>
      <w:r>
        <w:t xml:space="preserve"> </w:t>
      </w:r>
      <w:r>
        <w:t xml:space="preserve">Thursday, July 30, 2026</w:t>
      </w:r>
      <w:r>
        <w:br/>
      </w:r>
      <w:r>
        <w:rPr>
          <w:b/>
          <w:bCs/>
        </w:rPr>
        <w:t xml:space="preserve">Results call:</w:t>
      </w:r>
      <w:r>
        <w:t xml:space="preserve"> </w:t>
      </w:r>
      <w:r>
        <w:t xml:space="preserve">1:30 p.m. PT / 4:30 p.m. ET</w:t>
      </w:r>
      <w:r>
        <w:br/>
      </w:r>
      <w:r>
        <w:rPr>
          <w:b/>
          <w:bCs/>
        </w:rPr>
        <w:t xml:space="preserve">Primary issue for investors:</w:t>
      </w:r>
      <w:r>
        <w:t xml:space="preserve"> </w:t>
      </w:r>
      <w:r>
        <w:t xml:space="preserve">The quarter’s normalized earnings matter, but the stock’s reaction is more likely to hinge on management’s framing of</w:t>
      </w:r>
      <w:r>
        <w:t xml:space="preserve"> </w:t>
      </w:r>
      <w:r>
        <w:rPr>
          <w:b/>
          <w:bCs/>
        </w:rPr>
        <w:t xml:space="preserve">Eaton Fire liability, California wildfire-legislation progress, affordability pressure, and the durability of its capital plan.</w:t>
      </w:r>
    </w:p>
    <w:bookmarkStart w:id="9" w:name="bottom-line"/>
    <w:p>
      <w:pPr>
        <w:pStyle w:val="Heading2"/>
      </w:pPr>
      <w:r>
        <w:t xml:space="preserve">Bottom line</w:t>
      </w:r>
    </w:p>
    <w:p>
      <w:pPr>
        <w:pStyle w:val="FirstParagraph"/>
      </w:pPr>
      <w:r>
        <w:t xml:space="preserve">EIX enters 2Q26 with a favorable operating and regulatory setup: it began the year ahead of the prior-year core-EPS run rate, reaffirmed</w:t>
      </w:r>
      <w:r>
        <w:t xml:space="preserve"> </w:t>
      </w:r>
      <w:r>
        <w:rPr>
          <w:b/>
          <w:bCs/>
        </w:rPr>
        <w:t xml:space="preserve">2026 core EPS guidance of</w:t>
      </w:r>
      <w:r>
        <w:rPr>
          <w:b/>
          <w:bCs/>
        </w:rPr>
        <w:t xml:space="preserve"> </w:t>
      </w:r>
      <m:oMath>
        <m:r>
          <m:t>5.90</m:t>
        </m:r>
        <m:r>
          <m:rPr>
            <m:sty m:val="p"/>
          </m:rPr>
          <m:t>–</m:t>
        </m:r>
      </m:oMath>
      <w:r>
        <w:rPr>
          <w:b/>
          <w:bCs/>
        </w:rPr>
        <w:t xml:space="preserve">6.20</w:t>
      </w:r>
      <w:r>
        <w:t xml:space="preserve">, and retained its long-term targets of</w:t>
      </w:r>
      <w:r>
        <w:t xml:space="preserve"> </w:t>
      </w:r>
      <w:r>
        <w:rPr>
          <w:b/>
          <w:bCs/>
        </w:rPr>
        <w:t xml:space="preserve">5–7% core EPS growth</w:t>
      </w:r>
      <w:r>
        <w:t xml:space="preserve">, roughly</w:t>
      </w:r>
      <w:r>
        <w:t xml:space="preserve"> </w:t>
      </w:r>
      <w:r>
        <w:rPr>
          <w:b/>
          <w:bCs/>
        </w:rPr>
        <w:t xml:space="preserve">7% rate-base CAGR from 2025–2030</w:t>
      </w:r>
      <w:r>
        <w:t xml:space="preserve">, and no new common-equity issuance through 2030.</w:t>
      </w:r>
    </w:p>
    <w:p>
      <w:pPr>
        <w:pStyle w:val="BodyText"/>
      </w:pPr>
      <w:r>
        <w:t xml:space="preserve">The catch is that the market is unlikely to treat this as a conventional regulated-utility quarter. The unresolved Eaton Fire exposure remains the dominant valuation variable. Investors will be looking less for a precise loss estimate—which management has said it cannot yet provide—and more for evidence that claims data, compensation-program participation, insurance information, and legislative discussions are progressing toward a more predictable liability framework.</w:t>
      </w:r>
    </w:p>
    <w:p>
      <w:pPr>
        <w:pStyle w:val="BodyText"/>
      </w:pPr>
      <w:r>
        <w:t xml:space="preserve">The stock has already rerated materially into the event. EIX closed July 29 at</w:t>
      </w:r>
      <w:r>
        <w:t xml:space="preserve"> </w:t>
      </w:r>
      <w:r>
        <w:rPr>
          <w:b/>
          <w:bCs/>
        </w:rPr>
        <w:t xml:space="preserve">$78.81</w:t>
      </w:r>
      <w:r>
        <w:t xml:space="preserve">, up roughly</w:t>
      </w:r>
      <w:r>
        <w:t xml:space="preserve"> </w:t>
      </w:r>
      <w:r>
        <w:rPr>
          <w:b/>
          <w:bCs/>
        </w:rPr>
        <w:t xml:space="preserve">16.0% since the April 28 1Q26 report</w:t>
      </w:r>
      <w:r>
        <w:t xml:space="preserve">, versus a</w:t>
      </w:r>
      <w:r>
        <w:t xml:space="preserve"> </w:t>
      </w:r>
      <w:r>
        <w:rPr>
          <w:b/>
          <w:bCs/>
        </w:rPr>
        <w:t xml:space="preserve">2.7% decline for XLU</w:t>
      </w:r>
      <w:r>
        <w:t xml:space="preserve"> </w:t>
      </w:r>
      <w:r>
        <w:t xml:space="preserve">over the same period. That outperformance raises the bar for a clean print and constructive wildfire-policy commentary.</w:t>
      </w:r>
    </w:p>
    <w:p>
      <w:r>
        <w:pict>
          <v:rect style="width:0;height:1.5pt" o:hralign="center" o:hrstd="t" o:hr="t"/>
        </w:pict>
      </w:r>
    </w:p>
    <w:bookmarkEnd w:id="9"/>
    <w:bookmarkStart w:id="10" w:name="what-matters-most-on-july-30"/>
    <w:p>
      <w:pPr>
        <w:pStyle w:val="Heading2"/>
      </w:pPr>
      <w:r>
        <w:t xml:space="preserve">What matters most on July 30</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Topic</w:t>
            </w:r>
          </w:p>
        </w:tc>
        <w:tc>
          <w:tcPr/>
          <w:p>
            <w:pPr>
              <w:pStyle w:val="Compact"/>
            </w:pPr>
            <w:r>
              <w:t xml:space="preserve">Why it matters</w:t>
            </w:r>
          </w:p>
        </w:tc>
        <w:tc>
          <w:tcPr/>
          <w:p>
            <w:pPr>
              <w:pStyle w:val="Compact"/>
            </w:pPr>
            <w:r>
              <w:t xml:space="preserve">Constructive read-through</w:t>
            </w:r>
          </w:p>
        </w:tc>
        <w:tc>
          <w:tcPr/>
          <w:p>
            <w:pPr>
              <w:pStyle w:val="Compact"/>
            </w:pPr>
            <w:r>
              <w:t xml:space="preserve">Risk to the thesis</w:t>
            </w:r>
          </w:p>
        </w:tc>
      </w:tr>
      <w:tr>
        <w:tc>
          <w:tcPr/>
          <w:p>
            <w:pPr>
              <w:pStyle w:val="Compact"/>
            </w:pPr>
            <w:r>
              <w:rPr>
                <w:b/>
                <w:bCs/>
              </w:rPr>
              <w:t xml:space="preserve">2026 core EPS guidance</w:t>
            </w:r>
          </w:p>
        </w:tc>
        <w:tc>
          <w:tcPr/>
          <w:p>
            <w:pPr>
              <w:pStyle w:val="Compact"/>
            </w:pPr>
            <w:r>
              <w:t xml:space="preserve">The simplest measure of whether the underlying utility plan remains on track.</w:t>
            </w:r>
          </w:p>
        </w:tc>
        <w:tc>
          <w:tcPr/>
          <w:p>
            <w:pPr>
              <w:pStyle w:val="Compact"/>
            </w:pPr>
            <w:r>
              <w:t xml:space="preserve">Reaffirmation, ideally with commentary that results are tracking comfortably within the range.</w:t>
            </w:r>
          </w:p>
        </w:tc>
        <w:tc>
          <w:tcPr/>
          <w:p>
            <w:pPr>
              <w:pStyle w:val="Compact"/>
            </w:pPr>
            <w:r>
              <w:t xml:space="preserve">A guide reduction, a narrower range for unfavorable reasons, or a larger-than-expected Parent &amp; Other drag.</w:t>
            </w:r>
          </w:p>
        </w:tc>
      </w:tr>
      <w:tr>
        <w:tc>
          <w:tcPr/>
          <w:p>
            <w:pPr>
              <w:pStyle w:val="Compact"/>
            </w:pPr>
            <w:r>
              <w:rPr>
                <w:b/>
                <w:bCs/>
              </w:rPr>
              <w:t xml:space="preserve">Eaton Fire liability</w:t>
            </w:r>
          </w:p>
        </w:tc>
        <w:tc>
          <w:tcPr/>
          <w:p>
            <w:pPr>
              <w:pStyle w:val="Compact"/>
            </w:pPr>
            <w:r>
              <w:t xml:space="preserve">The central uncertainty affecting EIX’s cost of capital and valuation.</w:t>
            </w:r>
          </w:p>
        </w:tc>
        <w:tc>
          <w:tcPr/>
          <w:p>
            <w:pPr>
              <w:pStyle w:val="Compact"/>
            </w:pPr>
            <w:r>
              <w:t xml:space="preserve">More claim-resolution data, strong participation in the Wildfire Recovery Compensation Program (WRCP), and no new adverse facts.</w:t>
            </w:r>
          </w:p>
        </w:tc>
        <w:tc>
          <w:tcPr/>
          <w:p>
            <w:pPr>
              <w:pStyle w:val="Compact"/>
            </w:pPr>
            <w:r>
              <w:t xml:space="preserve">A higher-than-expected pace of claims, adverse investigation/litigation developments, or language suggesting a worsening loss range.</w:t>
            </w:r>
          </w:p>
        </w:tc>
      </w:tr>
      <w:tr>
        <w:tc>
          <w:tcPr/>
          <w:p>
            <w:pPr>
              <w:pStyle w:val="Compact"/>
            </w:pPr>
            <w:r>
              <w:rPr>
                <w:b/>
                <w:bCs/>
              </w:rPr>
              <w:t xml:space="preserve">California wildfire reform</w:t>
            </w:r>
          </w:p>
        </w:tc>
        <w:tc>
          <w:tcPr/>
          <w:p>
            <w:pPr>
              <w:pStyle w:val="Compact"/>
            </w:pPr>
            <w:r>
              <w:t xml:space="preserve">A durable cost-recovery and liability framework is critical for credit quality and long-term capital deployment.</w:t>
            </w:r>
          </w:p>
        </w:tc>
        <w:tc>
          <w:tcPr/>
          <w:p>
            <w:pPr>
              <w:pStyle w:val="Compact"/>
            </w:pPr>
            <w:r>
              <w:t xml:space="preserve">Specific signs of momentum before the August 31 end of the legislative session; support for predictable cost-of-service treatment.</w:t>
            </w:r>
          </w:p>
        </w:tc>
        <w:tc>
          <w:tcPr/>
          <w:p>
            <w:pPr>
              <w:pStyle w:val="Compact"/>
            </w:pPr>
            <w:r>
              <w:t xml:space="preserve">Indications that reform could slip into 2027 or prove insufficient to address wildfire-financing risk.</w:t>
            </w:r>
          </w:p>
        </w:tc>
      </w:tr>
      <w:tr>
        <w:tc>
          <w:tcPr/>
          <w:p>
            <w:pPr>
              <w:pStyle w:val="Compact"/>
            </w:pPr>
            <w:r>
              <w:rPr>
                <w:b/>
                <w:bCs/>
              </w:rPr>
              <w:t xml:space="preserve">Capital-plan execution / affordability</w:t>
            </w:r>
          </w:p>
        </w:tc>
        <w:tc>
          <w:tcPr/>
          <w:p>
            <w:pPr>
              <w:pStyle w:val="Compact"/>
            </w:pPr>
            <w:r>
              <w:t xml:space="preserve">EIX’s growth case depends on investing heavily while retaining regulatory support and customer affordability.</w:t>
            </w:r>
          </w:p>
        </w:tc>
        <w:tc>
          <w:tcPr/>
          <w:p>
            <w:pPr>
              <w:pStyle w:val="Compact"/>
            </w:pPr>
            <w:r>
              <w:t xml:space="preserve">Reaffirmed</w:t>
            </w:r>
            <w:r>
              <w:t xml:space="preserve"> </w:t>
            </w:r>
            <m:oMath>
              <m:r>
                <m:t>38</m:t>
              </m:r>
              <m:r>
                <m:rPr>
                  <m:sty m:val="p"/>
                </m:rPr>
                <m:t>–</m:t>
              </m:r>
            </m:oMath>
            <w:r>
              <w:rPr>
                <w:b/>
                <w:bCs/>
              </w:rPr>
              <w:t xml:space="preserve">41 billion</w:t>
            </w:r>
            <w:r>
              <w:t xml:space="preserve"> </w:t>
            </w:r>
            <w:r>
              <w:t xml:space="preserve">2026–30 capital plan, continued confidence in ~7% rate-base growth, and favorable AMI 2.0 / RAMP updates.</w:t>
            </w:r>
          </w:p>
        </w:tc>
        <w:tc>
          <w:tcPr/>
          <w:p>
            <w:pPr>
              <w:pStyle w:val="Compact"/>
            </w:pPr>
            <w:r>
              <w:t xml:space="preserve">Capital deferrals, rising execution costs, heightened rate-affordability constraints, or a more cautious post-2028 investment outlook.</w:t>
            </w:r>
          </w:p>
        </w:tc>
      </w:tr>
      <w:tr>
        <w:tc>
          <w:tcPr/>
          <w:p>
            <w:pPr>
              <w:pStyle w:val="Compact"/>
            </w:pPr>
            <w:r>
              <w:rPr>
                <w:b/>
                <w:bCs/>
              </w:rPr>
              <w:t xml:space="preserve">Financing and credit metrics</w:t>
            </w:r>
          </w:p>
        </w:tc>
        <w:tc>
          <w:tcPr/>
          <w:p>
            <w:pPr>
              <w:pStyle w:val="Compact"/>
            </w:pPr>
            <w:r>
              <w:t xml:space="preserve">The company’s “no common equity through 2030” message is a key differentiator.</w:t>
            </w:r>
          </w:p>
        </w:tc>
        <w:tc>
          <w:tcPr/>
          <w:p>
            <w:pPr>
              <w:pStyle w:val="Compact"/>
            </w:pPr>
            <w:r>
              <w:t xml:space="preserve">Continued confidence in the 15–17% FFO-to-debt framework and adequate debt-market access.</w:t>
            </w:r>
          </w:p>
        </w:tc>
        <w:tc>
          <w:tcPr/>
          <w:p>
            <w:pPr>
              <w:pStyle w:val="Compact"/>
            </w:pPr>
            <w:r>
              <w:t xml:space="preserve">A change in the financing plan, credit-rating pressure, or a materially higher interest-cost outlook.</w:t>
            </w:r>
          </w:p>
        </w:tc>
      </w:tr>
    </w:tbl>
    <w:p>
      <w:r>
        <w:pict>
          <v:rect style="width:0;height:1.5pt" o:hralign="center" o:hrstd="t" o:hr="t"/>
        </w:pict>
      </w:r>
    </w:p>
    <w:bookmarkEnd w:id="10"/>
    <w:bookmarkStart w:id="12" w:name="X81a6ba9414b785ed0211b94848c08c95b2a32d7"/>
    <w:p>
      <w:pPr>
        <w:pStyle w:val="Heading2"/>
      </w:pPr>
      <w:r>
        <w:t xml:space="preserve">Earnings setup: underlying results should look cleaner than the headline comparisons</w:t>
      </w:r>
    </w:p>
    <w:p>
      <w:pPr>
        <w:pStyle w:val="FirstParagraph"/>
      </w:pPr>
      <w:r>
        <w:t xml:space="preserve">EIX reported</w:t>
      </w:r>
      <w:r>
        <w:t xml:space="preserve"> </w:t>
      </w:r>
      <w:r>
        <w:rPr>
          <w:b/>
          <w:bCs/>
        </w:rPr>
        <w:t xml:space="preserve">1Q26 core EPS of</w:t>
      </w:r>
      <w:r>
        <w:rPr>
          <w:b/>
          <w:bCs/>
        </w:rPr>
        <w:t xml:space="preserve"> </w:t>
      </w:r>
      <m:oMath>
        <m:r>
          <m:t>1.42</m:t>
        </m:r>
        <m:r>
          <m:rPr>
            <m:sty m:val="p"/>
          </m:rPr>
          <m:t>*</m:t>
        </m:r>
        <m:r>
          <m:rPr>
            <m:sty m:val="p"/>
          </m:rPr>
          <m:t>*</m:t>
        </m:r>
        <m:r>
          <m:rPr>
            <m:sty m:val="p"/>
          </m:rPr>
          <m:t>,</m:t>
        </m:r>
        <m:r>
          <m:t>u</m:t>
        </m:r>
        <m:r>
          <m:t>p</m:t>
        </m:r>
        <m:r>
          <m:t>f</m:t>
        </m:r>
        <m:r>
          <m:t>r</m:t>
        </m:r>
        <m:r>
          <m:t>o</m:t>
        </m:r>
        <m:r>
          <m:t>m</m:t>
        </m:r>
        <m:r>
          <m:rPr>
            <m:sty m:val="p"/>
          </m:rPr>
          <m:t>*</m:t>
        </m:r>
        <m:r>
          <m:rPr>
            <m:sty m:val="p"/>
          </m:rPr>
          <m:t>*</m:t>
        </m:r>
      </m:oMath>
      <w:r>
        <w:rPr>
          <w:b/>
          <w:bCs/>
        </w:rPr>
        <w:t xml:space="preserve">1.37</w:t>
      </w:r>
      <w:r>
        <w:t xml:space="preserve"> </w:t>
      </w:r>
      <w:r>
        <w:t xml:space="preserve">in 1Q25, and affirmed its full-year</w:t>
      </w:r>
      <w:r>
        <w:t xml:space="preserve"> </w:t>
      </w:r>
      <m:oMath>
        <m:r>
          <m:t>5.90</m:t>
        </m:r>
        <m:r>
          <m:rPr>
            <m:sty m:val="p"/>
          </m:rPr>
          <m:t>–</m:t>
        </m:r>
      </m:oMath>
      <w:r>
        <w:rPr>
          <w:b/>
          <w:bCs/>
        </w:rPr>
        <w:t xml:space="preserve">6.20</w:t>
      </w:r>
      <w:r>
        <w:t xml:space="preserve"> </w:t>
      </w:r>
      <w:r>
        <w:t xml:space="preserve">core-EPS target. The improvement reflected the adoption of the 2025 General Rate Case (GRC) decision, partly offset by the absence of a prior-year benefit associated with the Thomas/Kincade/Montecito cost-recovery settlement.</w:t>
      </w:r>
    </w:p>
    <w:p>
      <w:pPr>
        <w:pStyle w:val="BodyText"/>
      </w:pPr>
      <w:r>
        <w:t xml:space="preserve">The year-over-year comparison in 2Q should be more favorable than the prior-year result implies. In 2Q25, EIX reported just</w:t>
      </w:r>
      <w:r>
        <w:t xml:space="preserve"> </w:t>
      </w:r>
      <w:r>
        <w:rPr>
          <w:b/>
          <w:bCs/>
        </w:rPr>
        <w:t xml:space="preserve">$0.97 of core EPS</w:t>
      </w:r>
      <w:r>
        <w:t xml:space="preserve">, depressed by higher O&amp;M and the then-unresolved GRC. The 2025 GRC is now in place, giving SCE greater earnings and revenue visibility through 2028.</w:t>
      </w:r>
    </w:p>
    <w:p>
      <w:pPr>
        <w:pStyle w:val="BodyText"/>
      </w:pPr>
      <w:r>
        <w:t xml:space="preserve">That said, EIX is not a quarterly “beat-and-raise” story. Its regulated earnings profile means the qualitative guide, capital, liability, and policy discussion should matter more than a modest variance versus a quarterly consensus number.</w:t>
      </w:r>
    </w:p>
    <w:bookmarkStart w:id="11" w:name="guidance-math-to-keep-in-mind"/>
    <w:p>
      <w:pPr>
        <w:pStyle w:val="Heading3"/>
      </w:pPr>
      <w:r>
        <w:t xml:space="preserve">Guidance math to keep in mind</w:t>
      </w:r>
    </w:p>
    <w:p>
      <w:pPr>
        <w:pStyle w:val="FirstParagraph"/>
      </w:pPr>
      <w:r>
        <w:t xml:space="preserve">After delivering</w:t>
      </w:r>
      <w:r>
        <w:t xml:space="preserve"> </w:t>
      </w:r>
      <m:oMath>
        <m:r>
          <m:t>1.42</m:t>
        </m:r>
        <m:r>
          <m:t>o</m:t>
        </m:r>
        <m:r>
          <m:t>f</m:t>
        </m:r>
        <m:r>
          <m:t>c</m:t>
        </m:r>
        <m:r>
          <m:t>o</m:t>
        </m:r>
        <m:r>
          <m:t>r</m:t>
        </m:r>
        <m:r>
          <m:t>e</m:t>
        </m:r>
        <m:r>
          <m:t>E</m:t>
        </m:r>
        <m:r>
          <m:t>P</m:t>
        </m:r>
        <m:r>
          <m:t>S</m:t>
        </m:r>
        <m:r>
          <m:t>i</m:t>
        </m:r>
        <m:r>
          <m:t>n</m:t>
        </m:r>
        <m:r>
          <m:t>1</m:t>
        </m:r>
        <m:r>
          <m:t>Q</m:t>
        </m:r>
        <m:r>
          <m:rPr>
            <m:sty m:val="p"/>
          </m:rPr>
          <m:t>,</m:t>
        </m:r>
        <m:r>
          <m:t>E</m:t>
        </m:r>
        <m:r>
          <m:t>I</m:t>
        </m:r>
        <m:r>
          <m:t>X</m:t>
        </m:r>
        <m:r>
          <m:t>m</m:t>
        </m:r>
        <m:r>
          <m:t>u</m:t>
        </m:r>
        <m:r>
          <m:t>s</m:t>
        </m:r>
        <m:r>
          <m:t>t</m:t>
        </m:r>
        <m:r>
          <m:t>g</m:t>
        </m:r>
        <m:r>
          <m:t>e</m:t>
        </m:r>
        <m:r>
          <m:t>n</m:t>
        </m:r>
        <m:r>
          <m:t>e</m:t>
        </m:r>
        <m:r>
          <m:t>r</m:t>
        </m:r>
        <m:r>
          <m:t>a</m:t>
        </m:r>
        <m:r>
          <m:t>t</m:t>
        </m:r>
        <m:r>
          <m:t>e</m:t>
        </m:r>
        <m:r>
          <m:t>r</m:t>
        </m:r>
        <m:r>
          <m:t>o</m:t>
        </m:r>
        <m:r>
          <m:t>u</m:t>
        </m:r>
        <m:r>
          <m:t>g</m:t>
        </m:r>
        <m:r>
          <m:t>h</m:t>
        </m:r>
        <m:r>
          <m:t>l</m:t>
        </m:r>
        <m:r>
          <m:t>y</m:t>
        </m:r>
        <m:r>
          <m:rPr>
            <m:sty m:val="p"/>
          </m:rPr>
          <m:t>*</m:t>
        </m:r>
        <m:r>
          <m:rPr>
            <m:sty m:val="p"/>
          </m:rPr>
          <m:t>*</m:t>
        </m:r>
      </m:oMath>
      <w:r>
        <w:t xml:space="preserve">4.48–$4.78** over the final three quarters to achieve its full-year target. That is consistent with the company’s seasonal earnings profile, which is typically weighted toward the second half.</w:t>
      </w:r>
    </w:p>
    <w:p>
      <w:pPr>
        <w:pStyle w:val="BodyText"/>
      </w:pPr>
      <w:r>
        <w:t xml:space="preserve">The central question is therefore not whether the first-half result mechanically supports the guide; it is whether management’s confidence in the guide remains intact after incorporating:</w:t>
      </w:r>
    </w:p>
    <w:p>
      <w:pPr>
        <w:pStyle w:val="Compact"/>
        <w:numPr>
          <w:ilvl w:val="0"/>
          <w:numId w:val="1001"/>
        </w:numPr>
      </w:pPr>
      <w:r>
        <w:t xml:space="preserve">wildfire claims and legal costs;</w:t>
      </w:r>
    </w:p>
    <w:p>
      <w:pPr>
        <w:pStyle w:val="Compact"/>
        <w:numPr>
          <w:ilvl w:val="0"/>
          <w:numId w:val="1001"/>
        </w:numPr>
      </w:pPr>
      <w:r>
        <w:t xml:space="preserve">financing costs and interest-rate conditions;</w:t>
      </w:r>
    </w:p>
    <w:p>
      <w:pPr>
        <w:pStyle w:val="Compact"/>
        <w:numPr>
          <w:ilvl w:val="0"/>
          <w:numId w:val="1001"/>
        </w:numPr>
      </w:pPr>
      <w:r>
        <w:t xml:space="preserve">O&amp;M discipline;</w:t>
      </w:r>
    </w:p>
    <w:p>
      <w:pPr>
        <w:pStyle w:val="Compact"/>
        <w:numPr>
          <w:ilvl w:val="0"/>
          <w:numId w:val="1001"/>
        </w:numPr>
      </w:pPr>
      <w:r>
        <w:t xml:space="preserve">capital-project execution; and</w:t>
      </w:r>
    </w:p>
    <w:p>
      <w:pPr>
        <w:pStyle w:val="Compact"/>
        <w:numPr>
          <w:ilvl w:val="0"/>
          <w:numId w:val="1001"/>
        </w:numPr>
      </w:pPr>
      <w:r>
        <w:t xml:space="preserve">the regulatory and political backdrop in California.</w:t>
      </w:r>
    </w:p>
    <w:p>
      <w:r>
        <w:pict>
          <v:rect style="width:0;height:1.5pt" o:hralign="center" o:hrstd="t" o:hr="t"/>
        </w:pict>
      </w:r>
    </w:p>
    <w:bookmarkEnd w:id="11"/>
    <w:bookmarkEnd w:id="12"/>
    <w:bookmarkStart w:id="14" w:name="X950163fb22fb649f3f30358a27b880ec0f9d2e2"/>
    <w:p>
      <w:pPr>
        <w:pStyle w:val="Heading2"/>
      </w:pPr>
      <w:r>
        <w:t xml:space="preserve">Eaton Fire: the key non-core issue remains the key stock issue</w:t>
      </w:r>
    </w:p>
    <w:p>
      <w:pPr>
        <w:pStyle w:val="FirstParagraph"/>
      </w:pPr>
      <w:r>
        <w:t xml:space="preserve">Management’s 1Q commentary made clear that it was still too early to provide a reasonable estimate—or even a timetable for one—of Eaton Fire exposure. That remains understandable, but the market will expect incremental disclosure with each quarter.</w:t>
      </w:r>
    </w:p>
    <w:p>
      <w:pPr>
        <w:pStyle w:val="BodyText"/>
      </w:pPr>
      <w:r>
        <w:t xml:space="preserve">At the April call, EIX said SCE had extended more than</w:t>
      </w:r>
      <w:r>
        <w:t xml:space="preserve"> </w:t>
      </w:r>
      <w:r>
        <w:rPr>
          <w:b/>
          <w:bCs/>
        </w:rPr>
        <w:t xml:space="preserve">1,500 WRCP offers totaling over $500 million</w:t>
      </w:r>
      <w:r>
        <w:t xml:space="preserve">. It had received more than</w:t>
      </w:r>
      <w:r>
        <w:t xml:space="preserve"> </w:t>
      </w:r>
      <w:r>
        <w:rPr>
          <w:b/>
          <w:bCs/>
        </w:rPr>
        <w:t xml:space="preserve">3,100 claims</w:t>
      </w:r>
      <w:r>
        <w:t xml:space="preserve">, while roughly</w:t>
      </w:r>
      <w:r>
        <w:t xml:space="preserve"> </w:t>
      </w:r>
      <w:r>
        <w:rPr>
          <w:b/>
          <w:bCs/>
        </w:rPr>
        <w:t xml:space="preserve">30,000 plaintiffs</w:t>
      </w:r>
      <w:r>
        <w:t xml:space="preserve"> </w:t>
      </w:r>
      <w:r>
        <w:t xml:space="preserve">had brought claims in other channels. Management also emphasized that the property-damage statute of limitations runs into</w:t>
      </w:r>
      <w:r>
        <w:t xml:space="preserve"> </w:t>
      </w:r>
      <w:r>
        <w:rPr>
          <w:b/>
          <w:bCs/>
        </w:rPr>
        <w:t xml:space="preserve">January 2028</w:t>
      </w:r>
      <w:r>
        <w:t xml:space="preserve">, leaving a long tail for claims development.</w:t>
      </w:r>
    </w:p>
    <w:bookmarkStart w:id="13" w:name="the-july-30-checklist"/>
    <w:p>
      <w:pPr>
        <w:pStyle w:val="Heading3"/>
      </w:pPr>
      <w:r>
        <w:t xml:space="preserve">The July 30 checklist</w:t>
      </w:r>
    </w:p>
    <w:p>
      <w:pPr>
        <w:pStyle w:val="FirstParagraph"/>
      </w:pPr>
      <w:r>
        <w:t xml:space="preserve">Investors should focus on four areas:</w:t>
      </w:r>
    </w:p>
    <w:p>
      <w:pPr>
        <w:numPr>
          <w:ilvl w:val="0"/>
          <w:numId w:val="1002"/>
        </w:numPr>
      </w:pPr>
      <w:r>
        <w:rPr>
          <w:b/>
          <w:bCs/>
        </w:rPr>
        <w:t xml:space="preserve">WRCP activity</w:t>
      </w:r>
    </w:p>
    <w:p>
      <w:pPr>
        <w:pStyle w:val="Compact"/>
        <w:numPr>
          <w:ilvl w:val="1"/>
          <w:numId w:val="1003"/>
        </w:numPr>
      </w:pPr>
      <w:r>
        <w:t xml:space="preserve">Number and dollar value of offers;</w:t>
      </w:r>
    </w:p>
    <w:p>
      <w:pPr>
        <w:pStyle w:val="Compact"/>
        <w:numPr>
          <w:ilvl w:val="1"/>
          <w:numId w:val="1003"/>
        </w:numPr>
      </w:pPr>
      <w:r>
        <w:t xml:space="preserve">acceptance and settlement rates;</w:t>
      </w:r>
    </w:p>
    <w:p>
      <w:pPr>
        <w:pStyle w:val="Compact"/>
        <w:numPr>
          <w:ilvl w:val="1"/>
          <w:numId w:val="1003"/>
        </w:numPr>
      </w:pPr>
      <w:r>
        <w:t xml:space="preserve">changes in the mix of residential, commercial, insured, underinsured, and uninsured claims.</w:t>
      </w:r>
    </w:p>
    <w:p>
      <w:pPr>
        <w:numPr>
          <w:ilvl w:val="0"/>
          <w:numId w:val="1002"/>
        </w:numPr>
      </w:pPr>
      <w:r>
        <w:rPr>
          <w:b/>
          <w:bCs/>
        </w:rPr>
        <w:t xml:space="preserve">Claims-development visibility</w:t>
      </w:r>
    </w:p>
    <w:p>
      <w:pPr>
        <w:pStyle w:val="Compact"/>
        <w:numPr>
          <w:ilvl w:val="1"/>
          <w:numId w:val="1004"/>
        </w:numPr>
      </w:pPr>
      <w:r>
        <w:t xml:space="preserve">Whether the company can identify greater stability in claim severity and frequency;</w:t>
      </w:r>
    </w:p>
    <w:p>
      <w:pPr>
        <w:pStyle w:val="Compact"/>
        <w:numPr>
          <w:ilvl w:val="1"/>
          <w:numId w:val="1004"/>
        </w:numPr>
      </w:pPr>
      <w:r>
        <w:t xml:space="preserve">whether management is closer to establishing a low end of an estimable range;</w:t>
      </w:r>
    </w:p>
    <w:p>
      <w:pPr>
        <w:pStyle w:val="Compact"/>
        <w:numPr>
          <w:ilvl w:val="1"/>
          <w:numId w:val="1004"/>
        </w:numPr>
      </w:pPr>
      <w:r>
        <w:t xml:space="preserve">whether disclosures around accrued claims, insurance receivables, or legal expenses changed during the quarter.</w:t>
      </w:r>
    </w:p>
    <w:p>
      <w:pPr>
        <w:numPr>
          <w:ilvl w:val="0"/>
          <w:numId w:val="1002"/>
        </w:numPr>
      </w:pPr>
      <w:r>
        <w:rPr>
          <w:b/>
          <w:bCs/>
        </w:rPr>
        <w:t xml:space="preserve">Investigations and litigation</w:t>
      </w:r>
    </w:p>
    <w:p>
      <w:pPr>
        <w:pStyle w:val="Compact"/>
        <w:numPr>
          <w:ilvl w:val="1"/>
          <w:numId w:val="1005"/>
        </w:numPr>
      </w:pPr>
      <w:r>
        <w:t xml:space="preserve">Any new factual findings, government actions, discovery developments, or procedural milestones;</w:t>
      </w:r>
    </w:p>
    <w:p>
      <w:pPr>
        <w:pStyle w:val="Compact"/>
        <w:numPr>
          <w:ilvl w:val="1"/>
          <w:numId w:val="1005"/>
        </w:numPr>
      </w:pPr>
      <w:r>
        <w:t xml:space="preserve">whether the company preserves its prior view that disclosure and legal-process issues are proceeding normally.</w:t>
      </w:r>
    </w:p>
    <w:p>
      <w:pPr>
        <w:numPr>
          <w:ilvl w:val="0"/>
          <w:numId w:val="1002"/>
        </w:numPr>
      </w:pPr>
      <w:r>
        <w:rPr>
          <w:b/>
          <w:bCs/>
        </w:rPr>
        <w:t xml:space="preserve">Credit and financing implications</w:t>
      </w:r>
    </w:p>
    <w:p>
      <w:pPr>
        <w:pStyle w:val="Compact"/>
        <w:numPr>
          <w:ilvl w:val="1"/>
          <w:numId w:val="1006"/>
        </w:numPr>
      </w:pPr>
      <w:r>
        <w:t xml:space="preserve">Any commentary from ratings agencies;</w:t>
      </w:r>
    </w:p>
    <w:p>
      <w:pPr>
        <w:pStyle w:val="Compact"/>
        <w:numPr>
          <w:ilvl w:val="1"/>
          <w:numId w:val="1006"/>
        </w:numPr>
      </w:pPr>
      <w:r>
        <w:t xml:space="preserve">whether the company’s no-equity plan and FFO-to-debt targets still assume no material change in the wildfire-policy framework.</w:t>
      </w:r>
    </w:p>
    <w:p>
      <w:pPr>
        <w:pStyle w:val="FirstParagraph"/>
      </w:pPr>
      <w:r>
        <w:rPr>
          <w:b/>
          <w:bCs/>
        </w:rPr>
        <w:t xml:space="preserve">Interpretation:</w:t>
      </w:r>
      <w:r>
        <w:t xml:space="preserve"> </w:t>
      </w:r>
      <w:r>
        <w:t xml:space="preserve">Continued inability to estimate the loss would not, by itself, be new information. The negative surprise would be a worsening fact pattern, materially higher claim severity, or a shift toward discussing capital-allocation or financing contingencies.</w:t>
      </w:r>
    </w:p>
    <w:p>
      <w:r>
        <w:pict>
          <v:rect style="width:0;height:1.5pt" o:hralign="center" o:hrstd="t" o:hr="t"/>
        </w:pict>
      </w:r>
    </w:p>
    <w:bookmarkEnd w:id="13"/>
    <w:bookmarkEnd w:id="14"/>
    <w:bookmarkStart w:id="17" w:name="X7147051dd504ce7f62ee6a8a8b0b8c792f9e8e0"/>
    <w:p>
      <w:pPr>
        <w:pStyle w:val="Heading2"/>
      </w:pPr>
      <w:r>
        <w:t xml:space="preserve">Wildfire legislation: time is becoming a catalyst</w:t>
      </w:r>
    </w:p>
    <w:p>
      <w:pPr>
        <w:pStyle w:val="FirstParagraph"/>
      </w:pPr>
      <w:r>
        <w:t xml:space="preserve">At the 1Q call, management was unusually direct about the importance of legislative action in 2026. Its argument is that California needs to return more clearly to a cost-of-service framework in which prudently incurred utility costs can be recovered, while shareholders bear losses associated with imprudent conduct.</w:t>
      </w:r>
    </w:p>
    <w:p>
      <w:pPr>
        <w:pStyle w:val="BodyText"/>
      </w:pPr>
      <w:r>
        <w:t xml:space="preserve">The timing matters: California’s legislative session is scheduled to end on</w:t>
      </w:r>
      <w:r>
        <w:t xml:space="preserve"> </w:t>
      </w:r>
      <w:r>
        <w:rPr>
          <w:b/>
          <w:bCs/>
        </w:rPr>
        <w:t xml:space="preserve">August 31, 2026</w:t>
      </w:r>
      <w:r>
        <w:t xml:space="preserve">. EIX’s report comes at a point when investors should expect management to offer its most current assessment of whether a viable package can emerge this year.</w:t>
      </w:r>
    </w:p>
    <w:bookmarkStart w:id="15" w:name="what-would-be-constructive"/>
    <w:p>
      <w:pPr>
        <w:pStyle w:val="Heading3"/>
      </w:pPr>
      <w:r>
        <w:t xml:space="preserve">What would be constructive</w:t>
      </w:r>
    </w:p>
    <w:p>
      <w:pPr>
        <w:pStyle w:val="Compact"/>
        <w:numPr>
          <w:ilvl w:val="0"/>
          <w:numId w:val="1007"/>
        </w:numPr>
      </w:pPr>
      <w:r>
        <w:t xml:space="preserve">Evidence that policymakers are converging on an actionable solution rather than merely studying options;</w:t>
      </w:r>
    </w:p>
    <w:p>
      <w:pPr>
        <w:pStyle w:val="Compact"/>
        <w:numPr>
          <w:ilvl w:val="0"/>
          <w:numId w:val="1007"/>
        </w:numPr>
      </w:pPr>
      <w:r>
        <w:t xml:space="preserve">support for a framework that preserves prudent cost recovery and attracts capital at reasonable rates;</w:t>
      </w:r>
    </w:p>
    <w:p>
      <w:pPr>
        <w:pStyle w:val="Compact"/>
        <w:numPr>
          <w:ilvl w:val="0"/>
          <w:numId w:val="1007"/>
        </w:numPr>
      </w:pPr>
      <w:r>
        <w:t xml:space="preserve">measures that address the affordability implications of wildfire risk across the broader California economy, rather than placing incremental burden solely on utility customers or shareholders;</w:t>
      </w:r>
    </w:p>
    <w:p>
      <w:pPr>
        <w:pStyle w:val="Compact"/>
        <w:numPr>
          <w:ilvl w:val="0"/>
          <w:numId w:val="1007"/>
        </w:numPr>
      </w:pPr>
      <w:r>
        <w:t xml:space="preserve">reduced likelihood of a prolonged legislative delay.</w:t>
      </w:r>
    </w:p>
    <w:bookmarkEnd w:id="15"/>
    <w:bookmarkStart w:id="16" w:name="what-would-concern-investors"/>
    <w:p>
      <w:pPr>
        <w:pStyle w:val="Heading3"/>
      </w:pPr>
      <w:r>
        <w:t xml:space="preserve">What would concern investors</w:t>
      </w:r>
    </w:p>
    <w:p>
      <w:pPr>
        <w:pStyle w:val="Compact"/>
        <w:numPr>
          <w:ilvl w:val="0"/>
          <w:numId w:val="1008"/>
        </w:numPr>
      </w:pPr>
      <w:r>
        <w:t xml:space="preserve">Management expressing diminished confidence in 2026 action;</w:t>
      </w:r>
    </w:p>
    <w:p>
      <w:pPr>
        <w:pStyle w:val="Compact"/>
        <w:numPr>
          <w:ilvl w:val="0"/>
          <w:numId w:val="1008"/>
        </w:numPr>
      </w:pPr>
      <w:r>
        <w:t xml:space="preserve">reform that improves process but does not sufficiently address catastrophic-liability and financing uncertainty;</w:t>
      </w:r>
    </w:p>
    <w:p>
      <w:pPr>
        <w:pStyle w:val="Compact"/>
        <w:numPr>
          <w:ilvl w:val="0"/>
          <w:numId w:val="1008"/>
        </w:numPr>
      </w:pPr>
      <w:r>
        <w:t xml:space="preserve">policy proposals centered on rate suppression, structural utility changes, or reduced capital recovery without an offsetting solution for reliability and wildfire mitigation;</w:t>
      </w:r>
    </w:p>
    <w:p>
      <w:pPr>
        <w:pStyle w:val="Compact"/>
        <w:numPr>
          <w:ilvl w:val="0"/>
          <w:numId w:val="1008"/>
        </w:numPr>
      </w:pPr>
      <w:r>
        <w:t xml:space="preserve">hints that a weaker policy outcome could force EIX to reconsider capital allocation, cost of capital, or funding plans.</w:t>
      </w:r>
    </w:p>
    <w:p>
      <w:r>
        <w:pict>
          <v:rect style="width:0;height:1.5pt" o:hralign="center" o:hrstd="t" o:hr="t"/>
        </w:pict>
      </w:r>
    </w:p>
    <w:bookmarkEnd w:id="16"/>
    <w:bookmarkEnd w:id="17"/>
    <w:bookmarkStart w:id="18" w:name="Xcfaaac07c87495bf7d4d552fd8aa065f56d0a24"/>
    <w:p>
      <w:pPr>
        <w:pStyle w:val="Heading2"/>
      </w:pPr>
      <w:r>
        <w:t xml:space="preserve">Core growth case: capital deployment remains intact</w:t>
      </w:r>
    </w:p>
    <w:p>
      <w:pPr>
        <w:pStyle w:val="FirstParagraph"/>
      </w:pPr>
      <w:r>
        <w:t xml:space="preserve">EIX’s regulated-growth proposition rests on SCE’s need to harden and modernize the grid for wildfire resilience, electrification, reliability, distributed-energy resources, and changing load patterns.</w:t>
      </w:r>
    </w:p>
    <w:p>
      <w:pPr>
        <w:pStyle w:val="BodyText"/>
      </w:pPr>
      <w:r>
        <w:t xml:space="preserve">Management reaffirmed a</w:t>
      </w:r>
      <w:r>
        <w:t xml:space="preserve"> </w:t>
      </w:r>
      <m:oMath>
        <m:r>
          <m:t>38</m:t>
        </m:r>
        <m:r>
          <m:rPr>
            <m:sty m:val="p"/>
          </m:rPr>
          <m:t>–</m:t>
        </m:r>
      </m:oMath>
      <w:r>
        <w:rPr>
          <w:b/>
          <w:bCs/>
        </w:rPr>
        <w:t xml:space="preserve">41 billion capital plan for 2026–2030</w:t>
      </w:r>
      <w:r>
        <w:t xml:space="preserve"> </w:t>
      </w:r>
      <w:r>
        <w:t xml:space="preserve">and expects approximately</w:t>
      </w:r>
      <w:r>
        <w:t xml:space="preserve"> </w:t>
      </w:r>
      <w:r>
        <w:rPr>
          <w:b/>
          <w:bCs/>
        </w:rPr>
        <w:t xml:space="preserve">7% annual rate-base growth</w:t>
      </w:r>
      <w:r>
        <w:t xml:space="preserve"> </w:t>
      </w:r>
      <w:r>
        <w:t xml:space="preserve">over that period. The bulk of the near-term plan is supported by the GRC decision through 2028, which materially improves visibility relative to 2025.</w:t>
      </w:r>
    </w:p>
    <w:p>
      <w:pPr>
        <w:pStyle w:val="BodyText"/>
      </w:pPr>
      <w:r>
        <w:t xml:space="preserve">Important pending items include:</w:t>
      </w:r>
    </w:p>
    <w:p>
      <w:pPr>
        <w:pStyle w:val="Compact"/>
        <w:numPr>
          <w:ilvl w:val="0"/>
          <w:numId w:val="1009"/>
        </w:numPr>
      </w:pPr>
      <w:r>
        <w:rPr>
          <w:b/>
          <w:bCs/>
        </w:rPr>
        <w:t xml:space="preserve">AMI 2.0:</w:t>
      </w:r>
      <w:r>
        <w:t xml:space="preserve"> </w:t>
      </w:r>
      <w:r>
        <w:t xml:space="preserve">SCE filed for approximately</w:t>
      </w:r>
      <w:r>
        <w:t xml:space="preserve"> </w:t>
      </w:r>
      <w:r>
        <w:rPr>
          <w:b/>
          <w:bCs/>
        </w:rPr>
        <w:t xml:space="preserve">$3.1 billion</w:t>
      </w:r>
      <w:r>
        <w:t xml:space="preserve"> </w:t>
      </w:r>
      <w:r>
        <w:t xml:space="preserve">of capital investment through 2033. About half is embedded in the current capital plan, with the remainder beyond 2030.</w:t>
      </w:r>
    </w:p>
    <w:p>
      <w:pPr>
        <w:pStyle w:val="Compact"/>
        <w:numPr>
          <w:ilvl w:val="0"/>
          <w:numId w:val="1009"/>
        </w:numPr>
      </w:pPr>
      <w:r>
        <w:rPr>
          <w:b/>
          <w:bCs/>
        </w:rPr>
        <w:t xml:space="preserve">NextGen ERP:</w:t>
      </w:r>
      <w:r>
        <w:t xml:space="preserve"> </w:t>
      </w:r>
      <w:r>
        <w:t xml:space="preserve">Another stand-alone application that is already included in planning assumptions.</w:t>
      </w:r>
    </w:p>
    <w:p>
      <w:pPr>
        <w:pStyle w:val="Compact"/>
        <w:numPr>
          <w:ilvl w:val="0"/>
          <w:numId w:val="1009"/>
        </w:numPr>
      </w:pPr>
      <w:r>
        <w:rPr>
          <w:b/>
          <w:bCs/>
        </w:rPr>
        <w:t xml:space="preserve">RAMP / next GRC cycle:</w:t>
      </w:r>
      <w:r>
        <w:t xml:space="preserve"> </w:t>
      </w:r>
      <w:r>
        <w:t xml:space="preserve">The upcoming risk-assessment filing begins the process for the next GRC and will help frame post-2028 capital needs around wildfire, T&amp;D reliability, cybersecurity, and climate adaptation.</w:t>
      </w:r>
    </w:p>
    <w:p>
      <w:pPr>
        <w:pStyle w:val="FirstParagraph"/>
      </w:pPr>
      <w:r>
        <w:t xml:space="preserve">For the quarter, investors should assess whether EIX maintains the view that affordability can be managed alongside elevated capital investment. Management has committed to rate increases at or below inflation through 2030, a claim that will be increasingly scrutinized in California’s political environment.</w:t>
      </w:r>
    </w:p>
    <w:p>
      <w:r>
        <w:pict>
          <v:rect style="width:0;height:1.5pt" o:hralign="center" o:hrstd="t" o:hr="t"/>
        </w:pict>
      </w:r>
    </w:p>
    <w:bookmarkEnd w:id="18"/>
    <w:bookmarkStart w:id="19" w:name="Xf1f663e276b393f28560bb84f407cab83261e03"/>
    <w:p>
      <w:pPr>
        <w:pStyle w:val="Heading2"/>
      </w:pPr>
      <w:r>
        <w:t xml:space="preserve">Financing: solid near-term positioning, but wildfire policy remains the swing factor</w:t>
      </w:r>
    </w:p>
    <w:p>
      <w:pPr>
        <w:pStyle w:val="FirstParagraph"/>
      </w:pPr>
      <w:r>
        <w:t xml:space="preserve">At the end of 1Q26, EIX had:</w:t>
      </w:r>
    </w:p>
    <w:p>
      <w:pPr>
        <w:pStyle w:val="Compact"/>
        <w:numPr>
          <w:ilvl w:val="0"/>
          <w:numId w:val="1010"/>
        </w:numPr>
      </w:pPr>
      <w:r>
        <w:rPr>
          <w:b/>
          <w:bCs/>
        </w:rPr>
        <w:t xml:space="preserve">$1.54 billion</w:t>
      </w:r>
      <w:r>
        <w:t xml:space="preserve"> </w:t>
      </w:r>
      <w:r>
        <w:t xml:space="preserve">of quarterly capital expenditures;</w:t>
      </w:r>
    </w:p>
    <w:p>
      <w:pPr>
        <w:pStyle w:val="Compact"/>
        <w:numPr>
          <w:ilvl w:val="0"/>
          <w:numId w:val="1010"/>
        </w:numPr>
      </w:pPr>
      <w:r>
        <w:rPr>
          <w:b/>
          <w:bCs/>
        </w:rPr>
        <w:t xml:space="preserve">$1.43 billion</w:t>
      </w:r>
      <w:r>
        <w:t xml:space="preserve"> </w:t>
      </w:r>
      <w:r>
        <w:t xml:space="preserve">of operating cash flow;</w:t>
      </w:r>
    </w:p>
    <w:p>
      <w:pPr>
        <w:pStyle w:val="Compact"/>
        <w:numPr>
          <w:ilvl w:val="0"/>
          <w:numId w:val="1010"/>
        </w:numPr>
      </w:pPr>
      <w:r>
        <w:rPr>
          <w:b/>
          <w:bCs/>
        </w:rPr>
        <w:t xml:space="preserve">$37.3 billion</w:t>
      </w:r>
      <w:r>
        <w:t xml:space="preserve"> </w:t>
      </w:r>
      <w:r>
        <w:t xml:space="preserve">of long-term debt;</w:t>
      </w:r>
    </w:p>
    <w:p>
      <w:pPr>
        <w:pStyle w:val="Compact"/>
        <w:numPr>
          <w:ilvl w:val="0"/>
          <w:numId w:val="1010"/>
        </w:numPr>
      </w:pPr>
      <w:r>
        <w:t xml:space="preserve">a stated goal of maintaining</w:t>
      </w:r>
      <w:r>
        <w:t xml:space="preserve"> </w:t>
      </w:r>
      <w:r>
        <w:rPr>
          <w:b/>
          <w:bCs/>
        </w:rPr>
        <w:t xml:space="preserve">15–17% FFO-to-debt</w:t>
      </w:r>
      <w:r>
        <w:t xml:space="preserve">; and</w:t>
      </w:r>
    </w:p>
    <w:p>
      <w:pPr>
        <w:pStyle w:val="Compact"/>
        <w:numPr>
          <w:ilvl w:val="0"/>
          <w:numId w:val="1010"/>
        </w:numPr>
      </w:pPr>
      <w:r>
        <w:t xml:space="preserve">no planned common-equity issuance through 2030.</w:t>
      </w:r>
    </w:p>
    <w:p>
      <w:pPr>
        <w:pStyle w:val="FirstParagraph"/>
      </w:pPr>
      <w:r>
        <w:t xml:space="preserve">The company also issued</w:t>
      </w:r>
      <w:r>
        <w:t xml:space="preserve"> </w:t>
      </w:r>
      <w:r>
        <w:rPr>
          <w:b/>
          <w:bCs/>
        </w:rPr>
        <w:t xml:space="preserve">$500 million of 5.00% senior notes due 2028</w:t>
      </w:r>
      <w:r>
        <w:t xml:space="preserve"> </w:t>
      </w:r>
      <w:r>
        <w:t xml:space="preserve">in May. That transaction supports near-term liquidity but reinforces why interest rates, credit spreads, and ratings-agency views matter.</w:t>
      </w:r>
    </w:p>
    <w:p>
      <w:pPr>
        <w:pStyle w:val="BodyText"/>
      </w:pPr>
      <w:r>
        <w:t xml:space="preserve">The July call is the first earnings call with</w:t>
      </w:r>
      <w:r>
        <w:t xml:space="preserve"> </w:t>
      </w:r>
      <w:r>
        <w:rPr>
          <w:b/>
          <w:bCs/>
        </w:rPr>
        <w:t xml:space="preserve">Aaron Moss</w:t>
      </w:r>
      <w:r>
        <w:t xml:space="preserve"> </w:t>
      </w:r>
      <w:r>
        <w:t xml:space="preserve">serving as EIX CFO, effective July 3. Because Moss previously served as SCE CFO and had earlier controller roles at EIX and SCE, the transition should be operationally low-risk. Still, investors will watch for continuity in three commitments: disciplined capital spending, the no-equity funding plan, and protection of credit metrics.</w:t>
      </w:r>
    </w:p>
    <w:p>
      <w:r>
        <w:pict>
          <v:rect style="width:0;height:1.5pt" o:hralign="center" o:hrstd="t" o:hr="t"/>
        </w:pict>
      </w:r>
    </w:p>
    <w:bookmarkEnd w:id="19"/>
    <w:bookmarkStart w:id="22" w:name="stock-setup-and-likely-market-reaction"/>
    <w:p>
      <w:pPr>
        <w:pStyle w:val="Heading2"/>
      </w:pPr>
      <w:r>
        <w:t xml:space="preserve">Stock setup and likely market reaction</w:t>
      </w:r>
    </w:p>
    <w:p>
      <w:pPr>
        <w:pStyle w:val="FirstParagraph"/>
      </w:pPr>
      <w:r>
        <w:t xml:space="preserve">EIX’s recent performance suggests investors have become more constructive on the combination of regulatory visibility, long-term capital growth, and the prospect of a better wildfire framework. Since the 1Q earnings release, the stock has outperformed the utility ETF sharply, including a roughly</w:t>
      </w:r>
      <w:r>
        <w:t xml:space="preserve"> </w:t>
      </w:r>
      <w:r>
        <w:rPr>
          <w:b/>
          <w:bCs/>
        </w:rPr>
        <w:t xml:space="preserve">7.2% gain in July through July 29</w:t>
      </w:r>
      <w:r>
        <w:t xml:space="preserve"> </w:t>
      </w:r>
      <w:r>
        <w:t xml:space="preserve">versus a roughly</w:t>
      </w:r>
      <w:r>
        <w:t xml:space="preserve"> </w:t>
      </w:r>
      <w:r>
        <w:rPr>
          <w:b/>
          <w:bCs/>
        </w:rPr>
        <w:t xml:space="preserve">0.5% gain for XLU</w:t>
      </w:r>
      <w:r>
        <w:t xml:space="preserve">.</w:t>
      </w:r>
    </w:p>
    <w:bookmarkStart w:id="20" w:name="potential-positive-reaction"/>
    <w:p>
      <w:pPr>
        <w:pStyle w:val="Heading3"/>
      </w:pPr>
      <w:r>
        <w:t xml:space="preserve">Potential positive reaction</w:t>
      </w:r>
    </w:p>
    <w:p>
      <w:pPr>
        <w:pStyle w:val="FirstParagraph"/>
      </w:pPr>
      <w:r>
        <w:t xml:space="preserve">A favorable outcome would likely include:</w:t>
      </w:r>
    </w:p>
    <w:p>
      <w:pPr>
        <w:pStyle w:val="Compact"/>
        <w:numPr>
          <w:ilvl w:val="0"/>
          <w:numId w:val="1011"/>
        </w:numPr>
      </w:pPr>
      <w:r>
        <w:t xml:space="preserve">core results consistent with expectations;</w:t>
      </w:r>
    </w:p>
    <w:p>
      <w:pPr>
        <w:pStyle w:val="Compact"/>
        <w:numPr>
          <w:ilvl w:val="0"/>
          <w:numId w:val="1011"/>
        </w:numPr>
      </w:pPr>
      <w:r>
        <w:t xml:space="preserve">reaffirmed 2026 guidance and long-term financial targets;</w:t>
      </w:r>
    </w:p>
    <w:p>
      <w:pPr>
        <w:pStyle w:val="Compact"/>
        <w:numPr>
          <w:ilvl w:val="0"/>
          <w:numId w:val="1011"/>
        </w:numPr>
      </w:pPr>
      <w:r>
        <w:t xml:space="preserve">no new adverse Eaton Fire developments;</w:t>
      </w:r>
    </w:p>
    <w:p>
      <w:pPr>
        <w:pStyle w:val="Compact"/>
        <w:numPr>
          <w:ilvl w:val="0"/>
          <w:numId w:val="1011"/>
        </w:numPr>
      </w:pPr>
      <w:r>
        <w:t xml:space="preserve">tangible progress in WRCP settlement activity;</w:t>
      </w:r>
    </w:p>
    <w:p>
      <w:pPr>
        <w:pStyle w:val="Compact"/>
        <w:numPr>
          <w:ilvl w:val="0"/>
          <w:numId w:val="1011"/>
        </w:numPr>
      </w:pPr>
      <w:r>
        <w:t xml:space="preserve">credible evidence that wildfire legislation remains active and actionable in 2026; and</w:t>
      </w:r>
    </w:p>
    <w:p>
      <w:pPr>
        <w:pStyle w:val="Compact"/>
        <w:numPr>
          <w:ilvl w:val="0"/>
          <w:numId w:val="1011"/>
        </w:numPr>
      </w:pPr>
      <w:r>
        <w:t xml:space="preserve">continued confidence in capital funding without common equity.</w:t>
      </w:r>
    </w:p>
    <w:bookmarkEnd w:id="20"/>
    <w:bookmarkStart w:id="21" w:name="potential-negative-reaction"/>
    <w:p>
      <w:pPr>
        <w:pStyle w:val="Heading3"/>
      </w:pPr>
      <w:r>
        <w:t xml:space="preserve">Potential negative reaction</w:t>
      </w:r>
    </w:p>
    <w:p>
      <w:pPr>
        <w:pStyle w:val="FirstParagraph"/>
      </w:pPr>
      <w:r>
        <w:t xml:space="preserve">The stock is vulnerable if the company signals:</w:t>
      </w:r>
    </w:p>
    <w:p>
      <w:pPr>
        <w:pStyle w:val="Compact"/>
        <w:numPr>
          <w:ilvl w:val="0"/>
          <w:numId w:val="1012"/>
        </w:numPr>
      </w:pPr>
      <w:r>
        <w:t xml:space="preserve">higher or less predictable Eaton Fire exposure;</w:t>
      </w:r>
    </w:p>
    <w:p>
      <w:pPr>
        <w:pStyle w:val="Compact"/>
        <w:numPr>
          <w:ilvl w:val="0"/>
          <w:numId w:val="1012"/>
        </w:numPr>
      </w:pPr>
      <w:r>
        <w:t xml:space="preserve">lower probability of meaningful 2026 wildfire reform;</w:t>
      </w:r>
    </w:p>
    <w:p>
      <w:pPr>
        <w:pStyle w:val="Compact"/>
        <w:numPr>
          <w:ilvl w:val="0"/>
          <w:numId w:val="1012"/>
        </w:numPr>
      </w:pPr>
      <w:r>
        <w:t xml:space="preserve">a risk that affordability concerns could constrain capital recovery or rate-base growth;</w:t>
      </w:r>
    </w:p>
    <w:p>
      <w:pPr>
        <w:pStyle w:val="Compact"/>
        <w:numPr>
          <w:ilvl w:val="0"/>
          <w:numId w:val="1012"/>
        </w:numPr>
      </w:pPr>
      <w:r>
        <w:t xml:space="preserve">pressure on credit metrics or a need to revisit financing assumptions; or</w:t>
      </w:r>
    </w:p>
    <w:p>
      <w:pPr>
        <w:pStyle w:val="Compact"/>
        <w:numPr>
          <w:ilvl w:val="0"/>
          <w:numId w:val="1012"/>
        </w:numPr>
      </w:pPr>
      <w:r>
        <w:t xml:space="preserve">reduced confidence in the capital plan, rate-base outlook, or 2026 EPS guide.</w:t>
      </w:r>
    </w:p>
    <w:p>
      <w:r>
        <w:pict>
          <v:rect style="width:0;height:1.5pt" o:hralign="center" o:hrstd="t" o:hr="t"/>
        </w:pict>
      </w:r>
    </w:p>
    <w:bookmarkEnd w:id="21"/>
    <w:bookmarkEnd w:id="22"/>
    <w:bookmarkStart w:id="23" w:name="X9116bec721e8ecc27edd7ff5882de2109353ab2"/>
    <w:p>
      <w:pPr>
        <w:pStyle w:val="Heading2"/>
      </w:pPr>
      <w:r>
        <w:t xml:space="preserve">Questions investors should ask on the call</w:t>
      </w:r>
    </w:p>
    <w:p>
      <w:pPr>
        <w:pStyle w:val="Compact"/>
        <w:numPr>
          <w:ilvl w:val="0"/>
          <w:numId w:val="1013"/>
        </w:numPr>
      </w:pPr>
      <w:r>
        <w:rPr>
          <w:b/>
          <w:bCs/>
        </w:rPr>
        <w:t xml:space="preserve">Eaton Fire:</w:t>
      </w:r>
      <w:r>
        <w:t xml:space="preserve"> </w:t>
      </w:r>
      <w:r>
        <w:t xml:space="preserve">What has changed since April in WRCP offers, acceptance rates, paid settlements, claims received, and the severity distribution of claims?</w:t>
      </w:r>
    </w:p>
    <w:p>
      <w:pPr>
        <w:pStyle w:val="Compact"/>
        <w:numPr>
          <w:ilvl w:val="0"/>
          <w:numId w:val="1013"/>
        </w:numPr>
      </w:pPr>
      <w:r>
        <w:rPr>
          <w:b/>
          <w:bCs/>
        </w:rPr>
        <w:t xml:space="preserve">Loss-estimation threshold:</w:t>
      </w:r>
      <w:r>
        <w:t xml:space="preserve"> </w:t>
      </w:r>
      <w:r>
        <w:t xml:space="preserve">What specific data points must stabilize before EIX can establish an estimable range or a minimum loss estimate?</w:t>
      </w:r>
    </w:p>
    <w:p>
      <w:pPr>
        <w:pStyle w:val="Compact"/>
        <w:numPr>
          <w:ilvl w:val="0"/>
          <w:numId w:val="1013"/>
        </w:numPr>
      </w:pPr>
      <w:r>
        <w:rPr>
          <w:b/>
          <w:bCs/>
        </w:rPr>
        <w:t xml:space="preserve">Legislative outlook:</w:t>
      </w:r>
      <w:r>
        <w:t xml:space="preserve"> </w:t>
      </w:r>
      <w:r>
        <w:t xml:space="preserve">What are the remaining gaps between stakeholder positions, and does management still believe a meaningful bill can pass before August 31?</w:t>
      </w:r>
    </w:p>
    <w:p>
      <w:pPr>
        <w:pStyle w:val="Compact"/>
        <w:numPr>
          <w:ilvl w:val="0"/>
          <w:numId w:val="1013"/>
        </w:numPr>
      </w:pPr>
      <w:r>
        <w:rPr>
          <w:b/>
          <w:bCs/>
        </w:rPr>
        <w:t xml:space="preserve">Capital-plan protection:</w:t>
      </w:r>
      <w:r>
        <w:t xml:space="preserve"> </w:t>
      </w:r>
      <w:r>
        <w:t xml:space="preserve">Under what circumstances would affordability or cost-of-capital concerns cause EIX to resize, delay, or reprioritize investments?</w:t>
      </w:r>
    </w:p>
    <w:p>
      <w:pPr>
        <w:pStyle w:val="Compact"/>
        <w:numPr>
          <w:ilvl w:val="0"/>
          <w:numId w:val="1013"/>
        </w:numPr>
      </w:pPr>
      <w:r>
        <w:rPr>
          <w:b/>
          <w:bCs/>
        </w:rPr>
        <w:t xml:space="preserve">AMI 2.0:</w:t>
      </w:r>
      <w:r>
        <w:t xml:space="preserve"> </w:t>
      </w:r>
      <w:r>
        <w:t xml:space="preserve">Have intervenor comments or early regulatory feedback altered the expected timing, scope, or economics of the application?</w:t>
      </w:r>
    </w:p>
    <w:p>
      <w:pPr>
        <w:pStyle w:val="Compact"/>
        <w:numPr>
          <w:ilvl w:val="0"/>
          <w:numId w:val="1013"/>
        </w:numPr>
      </w:pPr>
      <w:r>
        <w:rPr>
          <w:b/>
          <w:bCs/>
        </w:rPr>
        <w:t xml:space="preserve">Financing:</w:t>
      </w:r>
      <w:r>
        <w:t xml:space="preserve"> </w:t>
      </w:r>
      <w:r>
        <w:t xml:space="preserve">Does the company still expect to remain within its 15–17% FFO-to-debt target without common equity under its current base case?</w:t>
      </w:r>
    </w:p>
    <w:p>
      <w:pPr>
        <w:pStyle w:val="Compact"/>
        <w:numPr>
          <w:ilvl w:val="0"/>
          <w:numId w:val="1013"/>
        </w:numPr>
      </w:pPr>
      <w:r>
        <w:rPr>
          <w:b/>
          <w:bCs/>
        </w:rPr>
        <w:t xml:space="preserve">Operational resilience:</w:t>
      </w:r>
      <w:r>
        <w:t xml:space="preserve"> </w:t>
      </w:r>
      <w:r>
        <w:t xml:space="preserve">Have the summer wildfire season, weather conditions, PSPS activity, or mitigation performance altered the company’s risk assessment?</w:t>
      </w:r>
    </w:p>
    <w:p>
      <w:r>
        <w:pict>
          <v:rect style="width:0;height:1.5pt" o:hralign="center" o:hrstd="t" o:hr="t"/>
        </w:pict>
      </w:r>
    </w:p>
    <w:bookmarkEnd w:id="23"/>
    <w:bookmarkStart w:id="25" w:name="investment-take"/>
    <w:p>
      <w:pPr>
        <w:pStyle w:val="Heading2"/>
      </w:pPr>
      <w:r>
        <w:t xml:space="preserve">Investment take</w:t>
      </w:r>
    </w:p>
    <w:p>
      <w:pPr>
        <w:pStyle w:val="FirstParagraph"/>
      </w:pPr>
      <w:r>
        <w:rPr>
          <w:b/>
          <w:bCs/>
        </w:rPr>
        <w:t xml:space="preserve">EIX’s 2Q26 report is principally a confidence test.</w:t>
      </w:r>
      <w:r>
        <w:t xml:space="preserve"> </w:t>
      </w:r>
      <w:r>
        <w:t xml:space="preserve">The underlying regulated utility has unusually good visibility: a resolved GRC, a large capital program, a stated path to 5–7% EPS growth, and a funding plan that does not require new common equity. Those qualities support the core investment case.</w:t>
      </w:r>
    </w:p>
    <w:p>
      <w:pPr>
        <w:pStyle w:val="BodyText"/>
      </w:pPr>
      <w:r>
        <w:t xml:space="preserve">But the valuation still depends on whether Eaton Fire exposure becomes more quantifiable and whether California creates a credible, durable wildfire-liability framework. A routine earnings beat will help; a clear improvement in the liability and legislative narrative is what could sustain the stock’s recent rerating.</w:t>
      </w:r>
    </w:p>
    <w:bookmarkStart w:id="24" w:name="sources-reviewed"/>
    <w:p>
      <w:pPr>
        <w:pStyle w:val="Heading3"/>
      </w:pPr>
      <w:r>
        <w:t xml:space="preserve">Sources reviewed</w:t>
      </w:r>
    </w:p>
    <w:p>
      <w:pPr>
        <w:pStyle w:val="Compact"/>
        <w:numPr>
          <w:ilvl w:val="0"/>
          <w:numId w:val="1014"/>
        </w:numPr>
      </w:pPr>
      <w:r>
        <w:t xml:space="preserve">Edison International 1Q26 earnings release and earnings-call transcript — April 28, 2026</w:t>
      </w:r>
    </w:p>
    <w:p>
      <w:pPr>
        <w:pStyle w:val="Compact"/>
        <w:numPr>
          <w:ilvl w:val="0"/>
          <w:numId w:val="1014"/>
        </w:numPr>
      </w:pPr>
      <w:r>
        <w:t xml:space="preserve">Edison International 1Q26 Form 10-Q — April 28, 2026</w:t>
      </w:r>
    </w:p>
    <w:p>
      <w:pPr>
        <w:pStyle w:val="Compact"/>
        <w:numPr>
          <w:ilvl w:val="0"/>
          <w:numId w:val="1014"/>
        </w:numPr>
      </w:pPr>
      <w:r>
        <w:t xml:space="preserve">Edison International 2Q25 earnings release — July 31, 2025</w:t>
      </w:r>
    </w:p>
    <w:p>
      <w:pPr>
        <w:pStyle w:val="Compact"/>
        <w:numPr>
          <w:ilvl w:val="0"/>
          <w:numId w:val="1014"/>
        </w:numPr>
      </w:pPr>
      <w:r>
        <w:t xml:space="preserve">Edison International CFO-transition Form 8-K — April 23, 2026</w:t>
      </w:r>
    </w:p>
    <w:p>
      <w:pPr>
        <w:pStyle w:val="Compact"/>
        <w:numPr>
          <w:ilvl w:val="0"/>
          <w:numId w:val="1014"/>
        </w:numPr>
      </w:pPr>
      <w:r>
        <w:t xml:space="preserve">Edison International 2Q26 earnings-call advisory — July 1, 2026</w:t>
      </w:r>
    </w:p>
    <w:p>
      <w:pPr>
        <w:pStyle w:val="Compact"/>
        <w:numPr>
          <w:ilvl w:val="0"/>
          <w:numId w:val="1014"/>
        </w:numPr>
      </w:pPr>
      <w:r>
        <w:t xml:space="preserve">EIX and XLU closing-price data through July 29, 2026</w:t>
      </w:r>
    </w:p>
    <w:bookmarkEnd w:id="24"/>
    <w:bookmarkEnd w:id="25"/>
    <w:bookmarkEnd w:id="26"/>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2026-07-29T19:16:03Z</dcterms:created>
  <dcterms:modified xsi:type="dcterms:W3CDTF">2026-07-29T19:16:03Z</dcterms:modified>
</cp:coreProperties>
</file>

<file path=docProps/custom.xml><?xml version="1.0" encoding="utf-8"?>
<Properties xmlns="http://schemas.openxmlformats.org/officeDocument/2006/custom-properties" xmlns:vt="http://schemas.openxmlformats.org/officeDocument/2006/docPropsVTypes"/>
</file>