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Edison International (EIX)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Edison International (EIX)</w:t>
            </w:r>
          </w:p>
        </w:tc>
      </w:tr>
      <w:tr>
        <w:tc>
          <w:tcPr>
            <w:tcW w:type="dxa" w:w="4320"/>
          </w:tcPr>
          <w:p>
            <w:r>
              <w:rPr>
                <w:rFonts w:ascii="Calibri" w:hAnsi="Calibri"/>
                <w:b/>
                <w:sz w:val="22"/>
              </w:rPr>
              <w:t>Upcoming Earnings Date</w:t>
            </w:r>
          </w:p>
        </w:tc>
        <w:tc>
          <w:tcPr>
            <w:tcW w:type="dxa" w:w="4320"/>
          </w:tcPr>
          <w:p>
            <w:r>
              <w:rPr>
                <w:rFonts w:ascii="Calibri" w:hAnsi="Calibri"/>
                <w:sz w:val="22"/>
              </w:rPr>
              <w:t>July 30, 2026 (After Market Close / Conference Call 4:30 PM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r>
        <w:tc>
          <w:tcPr>
            <w:tcW w:type="dxa" w:w="4320"/>
          </w:tcPr>
          <w:p>
            <w:r>
              <w:rPr>
                <w:rFonts w:ascii="Calibri" w:hAnsi="Calibri"/>
                <w:b/>
                <w:sz w:val="22"/>
              </w:rPr>
              <w:t>Sector / Sub-Sector</w:t>
            </w:r>
          </w:p>
        </w:tc>
        <w:tc>
          <w:tcPr>
            <w:tcW w:type="dxa" w:w="4320"/>
          </w:tcPr>
          <w:p>
            <w:r>
              <w:rPr>
                <w:rFonts w:ascii="Calibri" w:hAnsi="Calibri"/>
                <w:sz w:val="22"/>
              </w:rPr>
              <w:t>Utilities / Regulated Electric (California IOU)</w:t>
            </w:r>
          </w:p>
        </w:tc>
      </w:tr>
      <w:tr>
        <w:tc>
          <w:tcPr>
            <w:tcW w:type="dxa" w:w="4320"/>
          </w:tcPr>
          <w:p>
            <w:r>
              <w:rPr>
                <w:rFonts w:ascii="Calibri" w:hAnsi="Calibri"/>
                <w:b/>
                <w:sz w:val="22"/>
              </w:rPr>
              <w:t>Primary Valuation Metric</w:t>
            </w:r>
          </w:p>
        </w:tc>
        <w:tc>
          <w:tcPr>
            <w:tcW w:type="dxa" w:w="4320"/>
          </w:tcPr>
          <w:p>
            <w:r>
              <w:rPr>
                <w:rFonts w:ascii="Calibri" w:hAnsi="Calibri"/>
                <w:sz w:val="22"/>
              </w:rPr>
              <w:t>P/E on Core EPS (NTM ~12.85x as of July 29,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Core EPS of ~$1.26 sits well above the prior-year Q2 of $0.97, implying a clean YoY beat is the base case, but the bar is not demanding. The single biggest swing factor is whether management provides any incremental clarity on the Eaton Fire liability quantum or SB 254 legislative progress, which could move the stock more than the reported numbers themselves.</w:t>
      </w:r>
    </w:p>
    <w:p>
      <w:r>
        <w:rPr>
          <w:rFonts w:ascii="Calibri" w:hAnsi="Calibri"/>
          <w:color w:val="525866"/>
          <w:sz w:val="22"/>
        </w:rPr>
        <w:t xml:space="preserve">Heading into Q2 2026, EIX's setup is characterized by a low-to-moderate earnings bar against a backdrop of improving regulatory visibility and persistent wildfire liability uncertainty. Consensus Core EPS of ~$1.26 represents a meaningful YoY improvement from $0.97 in Q2 2025 but is below Q1 2026's $1.42, reflecting normal seasonal patterns and the absence of one-time items; the GRC-driven revenue tailwind and lower preferred dividends (following the Q1 preferred stock redemption) should be the primary drivers of the YoY improvement. Management reaffirmed full-year 2026 Core EPS guidance of </w:t>
      </w:r>
      <w:r>
        <w:rPr>
          <w:rFonts w:ascii="Calibri" w:hAnsi="Calibri"/>
          <w:b/>
          <w:color w:val="525866"/>
          <w:sz w:val="22"/>
        </w:rPr>
        <w:t>$5.90–$6.20</w:t>
      </w:r>
      <w:r>
        <w:rPr>
          <w:rFonts w:ascii="Calibri" w:hAnsi="Calibri"/>
          <w:color w:val="525866"/>
          <w:sz w:val="22"/>
        </w:rPr>
        <w:t xml:space="preserve"> on the Q1 call and struck a confident tone, citing a 'cleaner regulatory slate' with fewer open proceedings and strong visibility into the capital plan through 2028; no guidance revision is expected at Q2, but any commentary on the </w:t>
      </w:r>
      <w:r>
        <w:rPr>
          <w:rFonts w:ascii="Calibri" w:hAnsi="Calibri"/>
          <w:b/>
          <w:color w:val="525866"/>
          <w:sz w:val="22"/>
        </w:rPr>
        <w:t>SB 254 wildfire liability reform timeline</w:t>
      </w:r>
      <w:r>
        <w:rPr>
          <w:rFonts w:ascii="Calibri" w:hAnsi="Calibri"/>
          <w:color w:val="525866"/>
          <w:sz w:val="22"/>
        </w:rPr>
        <w:t xml:space="preserve"> (legislative session ends August 31) will be closely watched. Estimate revisions have been choppy — the 2Q26 consensus drifted from ~$1.51 in August 2025 down to ~$1.04 in January 2026 before recovering to ~$1.26 currently — suggesting the street has already de-risked the quarter, creating a modest cushion for an in-line or slight beat. The stock has rallied ~</w:t>
      </w:r>
      <w:r>
        <w:rPr>
          <w:rFonts w:ascii="Calibri" w:hAnsi="Calibri"/>
          <w:b/>
          <w:color w:val="525866"/>
          <w:sz w:val="22"/>
        </w:rPr>
        <w:t>16% since the April 28 earnings date</w:t>
      </w:r>
      <w:r>
        <w:rPr>
          <w:rFonts w:ascii="Calibri" w:hAnsi="Calibri"/>
          <w:color w:val="525866"/>
          <w:sz w:val="22"/>
        </w:rPr>
        <w:t xml:space="preserve"> (vs. XLU roughly flat), driven almost entirely by multiple expansion as wildfire liability fears have partially receded, meaning the stock is no longer pricing in a worst-case scenario but also not yet pricing in full liability resolution. The key wildcard is any update on the </w:t>
      </w:r>
      <w:r>
        <w:rPr>
          <w:rFonts w:ascii="Calibri" w:hAnsi="Calibri"/>
          <w:b/>
          <w:color w:val="525866"/>
          <w:sz w:val="22"/>
        </w:rPr>
        <w:t>Eaton Fire Wildfire Recovery Compensation Program</w:t>
      </w:r>
      <w:r>
        <w:rPr>
          <w:rFonts w:ascii="Calibri" w:hAnsi="Calibri"/>
          <w:color w:val="525866"/>
          <w:sz w:val="22"/>
        </w:rPr>
        <w:t xml:space="preserve"> — with over 1,500 offers extended and ~30,000 plaintiffs still outstanding, even a directional comment on settlement pace or aggregate liability could be the most market-moving element of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 Core EPS of ~$1.26 implies solid YoY growth driven by GRC rate recovery, but is below Q1's $1.42 print. SCE Revenue is the bigger swing factor given load growth variability and summer demand; Core EPS is the primary valuation anchor.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EPS - Diluted (Operating)</w:t>
            </w:r>
          </w:p>
        </w:tc>
        <w:tc>
          <w:tcPr>
            <w:tcW w:type="dxa" w:w="1234"/>
          </w:tcPr>
          <w:p>
            <w:r>
              <w:rPr>
                <w:rFonts w:ascii="Calibri" w:hAnsi="Calibri"/>
                <w:sz w:val="22"/>
              </w:rPr>
              <w:t>$1.42</w:t>
            </w:r>
          </w:p>
        </w:tc>
        <w:tc>
          <w:tcPr>
            <w:tcW w:type="dxa" w:w="1234"/>
          </w:tcPr>
          <w:p>
            <w:r>
              <w:rPr>
                <w:rFonts w:ascii="Calibri" w:hAnsi="Calibri"/>
                <w:sz w:val="22"/>
              </w:rPr>
              <w:t>$0.97</w:t>
            </w:r>
          </w:p>
        </w:tc>
        <w:tc>
          <w:tcPr>
            <w:tcW w:type="dxa" w:w="1234"/>
          </w:tcPr>
          <w:p>
            <w:r>
              <w:rPr>
                <w:rFonts w:ascii="Calibri" w:hAnsi="Calibri"/>
                <w:sz w:val="22"/>
              </w:rPr>
              <w:t>$1.26</w:t>
            </w:r>
          </w:p>
        </w:tc>
        <w:tc>
          <w:tcPr>
            <w:tcW w:type="dxa" w:w="1234"/>
          </w:tcPr>
          <w:p>
            <w:r>
              <w:rPr>
                <w:rFonts w:ascii="Calibri" w:hAnsi="Calibri"/>
                <w:sz w:val="22"/>
              </w:rPr>
              <w:t>+30.1% YoY</w:t>
            </w:r>
          </w:p>
        </w:tc>
        <w:tc>
          <w:tcPr>
            <w:tcW w:type="dxa" w:w="1234"/>
          </w:tcPr>
          <w:p>
            <w:r>
              <w:rPr>
                <w:rFonts w:ascii="Calibri" w:hAnsi="Calibri"/>
                <w:sz w:val="22"/>
              </w:rPr>
              <w:t>$5.90–$6.20 (FY)</w:t>
            </w:r>
          </w:p>
        </w:tc>
        <w:tc>
          <w:tcPr>
            <w:tcW w:type="dxa" w:w="1234"/>
          </w:tcPr>
          <w:p>
            <w:r>
              <w:rPr>
                <w:rFonts w:ascii="Calibri" w:hAnsi="Calibri"/>
                <w:sz w:val="22"/>
              </w:rPr>
              <w:t>FY consensus $6.13 vs. midpoint $6.05; +1.3% above mid</w:t>
            </w:r>
          </w:p>
        </w:tc>
      </w:tr>
      <w:tr>
        <w:tc>
          <w:tcPr>
            <w:tcW w:type="dxa" w:w="1234"/>
          </w:tcPr>
          <w:p>
            <w:r>
              <w:rPr>
                <w:rFonts w:ascii="Calibri" w:hAnsi="Calibri"/>
                <w:sz w:val="22"/>
              </w:rPr>
              <w:t>SCE Operating Revenue ($B)</w:t>
            </w:r>
          </w:p>
        </w:tc>
        <w:tc>
          <w:tcPr>
            <w:tcW w:type="dxa" w:w="1234"/>
          </w:tcPr>
          <w:p>
            <w:r>
              <w:rPr>
                <w:rFonts w:ascii="Calibri" w:hAnsi="Calibri"/>
                <w:sz w:val="22"/>
              </w:rPr>
              <w:t>$4.10B</w:t>
            </w:r>
          </w:p>
        </w:tc>
        <w:tc>
          <w:tcPr>
            <w:tcW w:type="dxa" w:w="1234"/>
          </w:tcPr>
          <w:p>
            <w:r>
              <w:rPr>
                <w:rFonts w:ascii="Calibri" w:hAnsi="Calibri"/>
                <w:sz w:val="22"/>
              </w:rPr>
              <w:t>$4.53B</w:t>
            </w:r>
          </w:p>
        </w:tc>
        <w:tc>
          <w:tcPr>
            <w:tcW w:type="dxa" w:w="1234"/>
          </w:tcPr>
          <w:p>
            <w:r>
              <w:rPr>
                <w:rFonts w:ascii="Calibri" w:hAnsi="Calibri"/>
                <w:sz w:val="22"/>
              </w:rPr>
              <w:t>$4.78B</w:t>
            </w:r>
          </w:p>
        </w:tc>
        <w:tc>
          <w:tcPr>
            <w:tcW w:type="dxa" w:w="1234"/>
          </w:tcPr>
          <w:p>
            <w:r>
              <w:rPr>
                <w:rFonts w:ascii="Calibri" w:hAnsi="Calibri"/>
                <w:sz w:val="22"/>
              </w:rPr>
              <w:t>+5.5% YoY</w:t>
            </w:r>
          </w:p>
        </w:tc>
        <w:tc>
          <w:tcPr>
            <w:tcW w:type="dxa" w:w="1234"/>
          </w:tcPr>
          <w:p>
            <w:r>
              <w:rPr>
                <w:rFonts w:ascii="Calibri" w:hAnsi="Calibri"/>
                <w:sz w:val="22"/>
              </w:rPr>
              <w:t>FY ~$19.1B (consensus)</w:t>
            </w:r>
          </w:p>
        </w:tc>
        <w:tc>
          <w:tcPr>
            <w:tcW w:type="dxa" w:w="1234"/>
          </w:tcPr>
          <w:p>
            <w:r>
              <w:rPr>
                <w:rFonts w:ascii="Calibri" w:hAnsi="Calibri"/>
                <w:sz w:val="22"/>
              </w:rPr>
              <w:t>N/A — no quarterly revenue guidance provided</w:t>
            </w:r>
          </w:p>
        </w:tc>
      </w:tr>
      <w:tr>
        <w:tc>
          <w:tcPr>
            <w:tcW w:type="dxa" w:w="1234"/>
          </w:tcPr>
          <w:p>
            <w:r>
              <w:rPr>
                <w:rFonts w:ascii="Calibri" w:hAnsi="Calibri"/>
                <w:sz w:val="22"/>
              </w:rPr>
              <w:t>Average Rate Base ($B)</w:t>
            </w:r>
          </w:p>
        </w:tc>
        <w:tc>
          <w:tcPr>
            <w:tcW w:type="dxa" w:w="1234"/>
          </w:tcPr>
          <w:p>
            <w:r>
              <w:rPr>
                <w:rFonts w:ascii="Calibri" w:hAnsi="Calibri"/>
                <w:sz w:val="22"/>
              </w:rPr>
              <w:t>$48.5B</w:t>
            </w:r>
          </w:p>
        </w:tc>
        <w:tc>
          <w:tcPr>
            <w:tcW w:type="dxa" w:w="1234"/>
          </w:tcPr>
          <w:p>
            <w:r>
              <w:rPr>
                <w:rFonts w:ascii="Calibri" w:hAnsi="Calibri"/>
                <w:sz w:val="22"/>
              </w:rPr>
              <w:t>$46.2B</w:t>
            </w:r>
          </w:p>
        </w:tc>
        <w:tc>
          <w:tcPr>
            <w:tcW w:type="dxa" w:w="1234"/>
          </w:tcPr>
          <w:p>
            <w:r>
              <w:rPr>
                <w:rFonts w:ascii="Calibri" w:hAnsi="Calibri"/>
                <w:sz w:val="22"/>
              </w:rPr>
              <w:t>$49.5B</w:t>
            </w:r>
          </w:p>
        </w:tc>
        <w:tc>
          <w:tcPr>
            <w:tcW w:type="dxa" w:w="1234"/>
          </w:tcPr>
          <w:p>
            <w:r>
              <w:rPr>
                <w:rFonts w:ascii="Calibri" w:hAnsi="Calibri"/>
                <w:sz w:val="22"/>
              </w:rPr>
              <w:t>+7.1% YoY</w:t>
            </w:r>
          </w:p>
        </w:tc>
        <w:tc>
          <w:tcPr>
            <w:tcW w:type="dxa" w:w="1234"/>
          </w:tcPr>
          <w:p>
            <w:r>
              <w:rPr>
                <w:rFonts w:ascii="Calibri" w:hAnsi="Calibri"/>
                <w:sz w:val="22"/>
              </w:rPr>
              <w:t>~$50.8B weighted avg (FY 2026 guidance)</w:t>
            </w:r>
          </w:p>
        </w:tc>
        <w:tc>
          <w:tcPr>
            <w:tcW w:type="dxa" w:w="1234"/>
          </w:tcPr>
          <w:p>
            <w:r>
              <w:rPr>
                <w:rFonts w:ascii="Calibri" w:hAnsi="Calibri"/>
                <w:sz w:val="22"/>
              </w:rPr>
              <w:t>Tracking in line with ~7% CAGR target</w:t>
            </w:r>
          </w:p>
        </w:tc>
      </w:tr>
      <w:tr>
        <w:tc>
          <w:tcPr>
            <w:tcW w:type="dxa" w:w="1234"/>
          </w:tcPr>
          <w:p>
            <w:r>
              <w:rPr>
                <w:rFonts w:ascii="Calibri" w:hAnsi="Calibri"/>
                <w:sz w:val="22"/>
              </w:rPr>
              <w:t>SCE CapEx ($B)</w:t>
            </w:r>
          </w:p>
        </w:tc>
        <w:tc>
          <w:tcPr>
            <w:tcW w:type="dxa" w:w="1234"/>
          </w:tcPr>
          <w:p>
            <w:r>
              <w:rPr>
                <w:rFonts w:ascii="Calibri" w:hAnsi="Calibri"/>
                <w:sz w:val="22"/>
              </w:rPr>
              <w:t>$1.70B</w:t>
            </w:r>
          </w:p>
        </w:tc>
        <w:tc>
          <w:tcPr>
            <w:tcW w:type="dxa" w:w="1234"/>
          </w:tcPr>
          <w:p>
            <w:r>
              <w:rPr>
                <w:rFonts w:ascii="Calibri" w:hAnsi="Calibri"/>
                <w:sz w:val="22"/>
              </w:rPr>
              <w:t>$1.68B</w:t>
            </w:r>
          </w:p>
        </w:tc>
        <w:tc>
          <w:tcPr>
            <w:tcW w:type="dxa" w:w="1234"/>
          </w:tcPr>
          <w:p>
            <w:r>
              <w:rPr>
                <w:rFonts w:ascii="Calibri" w:hAnsi="Calibri"/>
                <w:sz w:val="22"/>
              </w:rPr>
              <w:t>$1.83B</w:t>
            </w:r>
          </w:p>
        </w:tc>
        <w:tc>
          <w:tcPr>
            <w:tcW w:type="dxa" w:w="1234"/>
          </w:tcPr>
          <w:p>
            <w:r>
              <w:rPr>
                <w:rFonts w:ascii="Calibri" w:hAnsi="Calibri"/>
                <w:sz w:val="22"/>
              </w:rPr>
              <w:t>+9.0% YoY</w:t>
            </w:r>
          </w:p>
        </w:tc>
        <w:tc>
          <w:tcPr>
            <w:tcW w:type="dxa" w:w="1234"/>
          </w:tcPr>
          <w:p>
            <w:r>
              <w:rPr>
                <w:rFonts w:ascii="Calibri" w:hAnsi="Calibri"/>
                <w:sz w:val="22"/>
              </w:rPr>
              <w:t>$7.3B FY 2026 guidance</w:t>
            </w:r>
          </w:p>
        </w:tc>
        <w:tc>
          <w:tcPr>
            <w:tcW w:type="dxa" w:w="1234"/>
          </w:tcPr>
          <w:p>
            <w:r>
              <w:rPr>
                <w:rFonts w:ascii="Calibri" w:hAnsi="Calibri"/>
                <w:sz w:val="22"/>
              </w:rPr>
              <w:t>FY consensus $7.09B; ~3% below guidance</w:t>
            </w:r>
          </w:p>
        </w:tc>
      </w:tr>
      <w:tr>
        <w:tc>
          <w:tcPr>
            <w:tcW w:type="dxa" w:w="1234"/>
          </w:tcPr>
          <w:p>
            <w:r>
              <w:rPr>
                <w:rFonts w:ascii="Calibri" w:hAnsi="Calibri"/>
                <w:sz w:val="22"/>
              </w:rPr>
              <w:t>Electric Sales - SCE (GWh)</w:t>
            </w:r>
          </w:p>
        </w:tc>
        <w:tc>
          <w:tcPr>
            <w:tcW w:type="dxa" w:w="1234"/>
          </w:tcPr>
          <w:p>
            <w:r>
              <w:rPr>
                <w:rFonts w:ascii="Calibri" w:hAnsi="Calibri"/>
                <w:sz w:val="22"/>
              </w:rPr>
              <w:t>17,845 GWh</w:t>
            </w:r>
          </w:p>
        </w:tc>
        <w:tc>
          <w:tcPr>
            <w:tcW w:type="dxa" w:w="1234"/>
          </w:tcPr>
          <w:p>
            <w:r>
              <w:rPr>
                <w:rFonts w:ascii="Calibri" w:hAnsi="Calibri"/>
                <w:sz w:val="22"/>
              </w:rPr>
              <w:t>18,423 GWh</w:t>
            </w:r>
          </w:p>
        </w:tc>
        <w:tc>
          <w:tcPr>
            <w:tcW w:type="dxa" w:w="1234"/>
          </w:tcPr>
          <w:p>
            <w:r>
              <w:rPr>
                <w:rFonts w:ascii="Calibri" w:hAnsi="Calibri"/>
                <w:sz w:val="22"/>
              </w:rPr>
              <w:t>18,423 GWh (est.)</w:t>
            </w:r>
          </w:p>
        </w:tc>
        <w:tc>
          <w:tcPr>
            <w:tcW w:type="dxa" w:w="1234"/>
          </w:tcPr>
          <w:p>
            <w:r>
              <w:rPr>
                <w:rFonts w:ascii="Calibri" w:hAnsi="Calibri"/>
                <w:sz w:val="22"/>
              </w:rPr>
              <w:t>~Flat YoY</w:t>
            </w:r>
          </w:p>
        </w:tc>
        <w:tc>
          <w:tcPr>
            <w:tcW w:type="dxa" w:w="1234"/>
          </w:tcPr>
          <w:p>
            <w:r>
              <w:rPr>
                <w:rFonts w:ascii="Calibri" w:hAnsi="Calibri"/>
                <w:sz w:val="22"/>
              </w:rPr>
              <w:t>N/A — no quarterly volume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Core EPS is the primary KPI; SCE Operating Revenue is the secondary swing factor. FY 2026 guidance of $5.90–$6.20 Core EPS reaffirmed on April 28, 2026 Q1 earnings call. Rate base guidance of ~$50.8B weighted average for FY 2026 per Q1 2026 earnings presentation.</w:t>
      </w:r>
    </w:p>
    <w:p>
      <w:pPr>
        <w:pStyle w:val="Heading3"/>
      </w:pPr>
      <w:r>
        <w:rPr>
          <w:rFonts w:ascii="Calibri" w:hAnsi="Calibri"/>
          <w:b/>
          <w:color w:val="3B4259"/>
          <w:sz w:val="24"/>
        </w:rPr>
        <w:t>Table 2 — Beat / Miss History (Last 8 Quarters — Core EPS &amp; SCE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 Actual</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Core EPS</w:t>
            </w:r>
          </w:p>
        </w:tc>
        <w:tc>
          <w:tcPr>
            <w:tcW w:type="dxa" w:w="1440"/>
          </w:tcPr>
          <w:p>
            <w:r>
              <w:rPr>
                <w:rFonts w:ascii="Calibri" w:hAnsi="Calibri"/>
                <w:sz w:val="22"/>
              </w:rPr>
              <w:t>$1.42</w:t>
            </w:r>
          </w:p>
        </w:tc>
        <w:tc>
          <w:tcPr>
            <w:tcW w:type="dxa" w:w="1440"/>
          </w:tcPr>
          <w:p>
            <w:r>
              <w:rPr>
                <w:rFonts w:ascii="Calibri" w:hAnsi="Calibri"/>
                <w:sz w:val="22"/>
              </w:rPr>
              <w:t>$1.13</w:t>
            </w:r>
          </w:p>
        </w:tc>
        <w:tc>
          <w:tcPr>
            <w:tcW w:type="dxa" w:w="1440"/>
          </w:tcPr>
          <w:p>
            <w:r>
              <w:rPr>
                <w:rFonts w:ascii="Calibri" w:hAnsi="Calibri"/>
                <w:b/>
                <w:color w:val="30A46C"/>
                <w:sz w:val="22"/>
              </w:rPr>
              <w:t>+25.7%</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SCE Revenue</w:t>
            </w:r>
          </w:p>
        </w:tc>
        <w:tc>
          <w:tcPr>
            <w:tcW w:type="dxa" w:w="1440"/>
          </w:tcPr>
          <w:p>
            <w:r>
              <w:rPr>
                <w:rFonts w:ascii="Calibri" w:hAnsi="Calibri"/>
                <w:sz w:val="22"/>
              </w:rPr>
              <w:t>$4.10B</w:t>
            </w:r>
          </w:p>
        </w:tc>
        <w:tc>
          <w:tcPr>
            <w:tcW w:type="dxa" w:w="1440"/>
          </w:tcPr>
          <w:p>
            <w:r>
              <w:rPr>
                <w:rFonts w:ascii="Calibri" w:hAnsi="Calibri"/>
                <w:sz w:val="22"/>
              </w:rPr>
              <w:t>$4.15B</w:t>
            </w:r>
          </w:p>
        </w:tc>
        <w:tc>
          <w:tcPr>
            <w:tcW w:type="dxa" w:w="1440"/>
          </w:tcPr>
          <w:p>
            <w:r>
              <w:rPr>
                <w:rFonts w:ascii="Calibri" w:hAnsi="Calibri"/>
                <w:b/>
                <w:color w:val="E5484D"/>
                <w:sz w:val="22"/>
              </w:rPr>
              <w:t>−1.2%</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Core EPS</w:t>
            </w:r>
          </w:p>
        </w:tc>
        <w:tc>
          <w:tcPr>
            <w:tcW w:type="dxa" w:w="1440"/>
          </w:tcPr>
          <w:p>
            <w:r>
              <w:rPr>
                <w:rFonts w:ascii="Calibri" w:hAnsi="Calibri"/>
                <w:sz w:val="22"/>
              </w:rPr>
              <w:t>$1.86</w:t>
            </w:r>
          </w:p>
        </w:tc>
        <w:tc>
          <w:tcPr>
            <w:tcW w:type="dxa" w:w="1440"/>
          </w:tcPr>
          <w:p>
            <w:r>
              <w:rPr>
                <w:rFonts w:ascii="Calibri" w:hAnsi="Calibri"/>
                <w:sz w:val="22"/>
              </w:rPr>
              <w:t>$1.47</w:t>
            </w:r>
          </w:p>
        </w:tc>
        <w:tc>
          <w:tcPr>
            <w:tcW w:type="dxa" w:w="1440"/>
          </w:tcPr>
          <w:p>
            <w:r>
              <w:rPr>
                <w:rFonts w:ascii="Calibri" w:hAnsi="Calibri"/>
                <w:b/>
                <w:color w:val="30A46C"/>
                <w:sz w:val="22"/>
              </w:rPr>
              <w:t>+26.5%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SCE Revenue</w:t>
            </w:r>
          </w:p>
        </w:tc>
        <w:tc>
          <w:tcPr>
            <w:tcW w:type="dxa" w:w="1440"/>
          </w:tcPr>
          <w:p>
            <w:r>
              <w:rPr>
                <w:rFonts w:ascii="Calibri" w:hAnsi="Calibri"/>
                <w:sz w:val="22"/>
              </w:rPr>
              <w:t>$5.20B</w:t>
            </w:r>
          </w:p>
        </w:tc>
        <w:tc>
          <w:tcPr>
            <w:tcW w:type="dxa" w:w="1440"/>
          </w:tcPr>
          <w:p>
            <w:r>
              <w:rPr>
                <w:rFonts w:ascii="Calibri" w:hAnsi="Calibri"/>
                <w:sz w:val="22"/>
              </w:rPr>
              <w:t>$4.30B</w:t>
            </w:r>
          </w:p>
        </w:tc>
        <w:tc>
          <w:tcPr>
            <w:tcW w:type="dxa" w:w="1440"/>
          </w:tcPr>
          <w:p>
            <w:r>
              <w:rPr>
                <w:rFonts w:ascii="Calibri" w:hAnsi="Calibri"/>
                <w:b/>
                <w:color w:val="30A46C"/>
                <w:sz w:val="22"/>
              </w:rPr>
              <w:t>+20.9%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Core EPS</w:t>
            </w:r>
          </w:p>
        </w:tc>
        <w:tc>
          <w:tcPr>
            <w:tcW w:type="dxa" w:w="1440"/>
          </w:tcPr>
          <w:p>
            <w:r>
              <w:rPr>
                <w:rFonts w:ascii="Calibri" w:hAnsi="Calibri"/>
                <w:sz w:val="22"/>
              </w:rPr>
              <w:t>$2.34</w:t>
            </w:r>
          </w:p>
        </w:tc>
        <w:tc>
          <w:tcPr>
            <w:tcW w:type="dxa" w:w="1440"/>
          </w:tcPr>
          <w:p>
            <w:r>
              <w:rPr>
                <w:rFonts w:ascii="Calibri" w:hAnsi="Calibri"/>
                <w:sz w:val="22"/>
              </w:rPr>
              <w:t>$2.16</w:t>
            </w:r>
          </w:p>
        </w:tc>
        <w:tc>
          <w:tcPr>
            <w:tcW w:type="dxa" w:w="1440"/>
          </w:tcPr>
          <w:p>
            <w:r>
              <w:rPr>
                <w:rFonts w:ascii="Calibri" w:hAnsi="Calibri"/>
                <w:b/>
                <w:color w:val="30A46C"/>
                <w:sz w:val="22"/>
              </w:rPr>
              <w:t>+8.3%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SCE Revenue</w:t>
            </w:r>
          </w:p>
        </w:tc>
        <w:tc>
          <w:tcPr>
            <w:tcW w:type="dxa" w:w="1440"/>
          </w:tcPr>
          <w:p>
            <w:r>
              <w:rPr>
                <w:rFonts w:ascii="Calibri" w:hAnsi="Calibri"/>
                <w:sz w:val="22"/>
              </w:rPr>
              <w:t>$5.74B</w:t>
            </w:r>
          </w:p>
        </w:tc>
        <w:tc>
          <w:tcPr>
            <w:tcW w:type="dxa" w:w="1440"/>
          </w:tcPr>
          <w:p>
            <w:r>
              <w:rPr>
                <w:rFonts w:ascii="Calibri" w:hAnsi="Calibri"/>
                <w:sz w:val="22"/>
              </w:rPr>
              <w:t>$5.72B</w:t>
            </w:r>
          </w:p>
        </w:tc>
        <w:tc>
          <w:tcPr>
            <w:tcW w:type="dxa" w:w="1440"/>
          </w:tcPr>
          <w:p>
            <w:r>
              <w:rPr>
                <w:rFonts w:ascii="Calibri" w:hAnsi="Calibri"/>
                <w:b/>
                <w:color w:val="30A46C"/>
                <w:sz w:val="22"/>
              </w:rPr>
              <w:t>+0.3%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Core EPS</w:t>
            </w:r>
          </w:p>
        </w:tc>
        <w:tc>
          <w:tcPr>
            <w:tcW w:type="dxa" w:w="1440"/>
          </w:tcPr>
          <w:p>
            <w:r>
              <w:rPr>
                <w:rFonts w:ascii="Calibri" w:hAnsi="Calibri"/>
                <w:sz w:val="22"/>
              </w:rPr>
              <w:t>$0.97</w:t>
            </w:r>
          </w:p>
        </w:tc>
        <w:tc>
          <w:tcPr>
            <w:tcW w:type="dxa" w:w="1440"/>
          </w:tcPr>
          <w:p>
            <w:r>
              <w:rPr>
                <w:rFonts w:ascii="Calibri" w:hAnsi="Calibri"/>
                <w:sz w:val="22"/>
              </w:rPr>
              <w:t>$1.04</w:t>
            </w:r>
          </w:p>
        </w:tc>
        <w:tc>
          <w:tcPr>
            <w:tcW w:type="dxa" w:w="1440"/>
          </w:tcPr>
          <w:p>
            <w:r>
              <w:rPr>
                <w:rFonts w:ascii="Calibri" w:hAnsi="Calibri"/>
                <w:b/>
                <w:color w:val="E5484D"/>
                <w:sz w:val="22"/>
              </w:rPr>
              <w:t>−6.7%</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SCE Revenue</w:t>
            </w:r>
          </w:p>
        </w:tc>
        <w:tc>
          <w:tcPr>
            <w:tcW w:type="dxa" w:w="1440"/>
          </w:tcPr>
          <w:p>
            <w:r>
              <w:rPr>
                <w:rFonts w:ascii="Calibri" w:hAnsi="Calibri"/>
                <w:sz w:val="22"/>
              </w:rPr>
              <w:t>$4.53B</w:t>
            </w:r>
          </w:p>
        </w:tc>
        <w:tc>
          <w:tcPr>
            <w:tcW w:type="dxa" w:w="1440"/>
          </w:tcPr>
          <w:p>
            <w:r>
              <w:rPr>
                <w:rFonts w:ascii="Calibri" w:hAnsi="Calibri"/>
                <w:sz w:val="22"/>
              </w:rPr>
              <w:t>$4.30B</w:t>
            </w:r>
          </w:p>
        </w:tc>
        <w:tc>
          <w:tcPr>
            <w:tcW w:type="dxa" w:w="1440"/>
          </w:tcPr>
          <w:p>
            <w:r>
              <w:rPr>
                <w:rFonts w:ascii="Calibri" w:hAnsi="Calibri"/>
                <w:b/>
                <w:color w:val="30A46C"/>
                <w:sz w:val="22"/>
              </w:rPr>
              <w:t>+5.3%</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Core EPS</w:t>
            </w:r>
          </w:p>
        </w:tc>
        <w:tc>
          <w:tcPr>
            <w:tcW w:type="dxa" w:w="1440"/>
          </w:tcPr>
          <w:p>
            <w:r>
              <w:rPr>
                <w:rFonts w:ascii="Calibri" w:hAnsi="Calibri"/>
                <w:sz w:val="22"/>
              </w:rPr>
              <w:t>$1.37</w:t>
            </w:r>
          </w:p>
        </w:tc>
        <w:tc>
          <w:tcPr>
            <w:tcW w:type="dxa" w:w="1440"/>
          </w:tcPr>
          <w:p>
            <w:r>
              <w:rPr>
                <w:rFonts w:ascii="Calibri" w:hAnsi="Calibri"/>
                <w:sz w:val="22"/>
              </w:rPr>
              <w:t>$1.28</w:t>
            </w:r>
          </w:p>
        </w:tc>
        <w:tc>
          <w:tcPr>
            <w:tcW w:type="dxa" w:w="1440"/>
          </w:tcPr>
          <w:p>
            <w:r>
              <w:rPr>
                <w:rFonts w:ascii="Calibri" w:hAnsi="Calibri"/>
                <w:b/>
                <w:color w:val="30A46C"/>
                <w:sz w:val="22"/>
              </w:rPr>
              <w:t>+7.0%</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SCE Revenue</w:t>
            </w:r>
          </w:p>
        </w:tc>
        <w:tc>
          <w:tcPr>
            <w:tcW w:type="dxa" w:w="1440"/>
          </w:tcPr>
          <w:p>
            <w:r>
              <w:rPr>
                <w:rFonts w:ascii="Calibri" w:hAnsi="Calibri"/>
                <w:sz w:val="22"/>
              </w:rPr>
              <w:t>$3.80B</w:t>
            </w:r>
          </w:p>
        </w:tc>
        <w:tc>
          <w:tcPr>
            <w:tcW w:type="dxa" w:w="1440"/>
          </w:tcPr>
          <w:p>
            <w:r>
              <w:rPr>
                <w:rFonts w:ascii="Calibri" w:hAnsi="Calibri"/>
                <w:sz w:val="22"/>
              </w:rPr>
              <w:t>$4.33B</w:t>
            </w:r>
          </w:p>
        </w:tc>
        <w:tc>
          <w:tcPr>
            <w:tcW w:type="dxa" w:w="1440"/>
          </w:tcPr>
          <w:p>
            <w:r>
              <w:rPr>
                <w:rFonts w:ascii="Calibri" w:hAnsi="Calibri"/>
                <w:b/>
                <w:color w:val="E5484D"/>
                <w:sz w:val="22"/>
              </w:rPr>
              <w:t>−12.2%</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Core EPS</w:t>
            </w:r>
          </w:p>
        </w:tc>
        <w:tc>
          <w:tcPr>
            <w:tcW w:type="dxa" w:w="1440"/>
          </w:tcPr>
          <w:p>
            <w:r>
              <w:rPr>
                <w:rFonts w:ascii="Calibri" w:hAnsi="Calibri"/>
                <w:sz w:val="22"/>
              </w:rPr>
              <w:t>$1.05</w:t>
            </w:r>
          </w:p>
        </w:tc>
        <w:tc>
          <w:tcPr>
            <w:tcW w:type="dxa" w:w="1440"/>
          </w:tcPr>
          <w:p>
            <w:r>
              <w:rPr>
                <w:rFonts w:ascii="Calibri" w:hAnsi="Calibri"/>
                <w:sz w:val="22"/>
              </w:rPr>
              <w:t>$1.07</w:t>
            </w:r>
          </w:p>
        </w:tc>
        <w:tc>
          <w:tcPr>
            <w:tcW w:type="dxa" w:w="1440"/>
          </w:tcPr>
          <w:p>
            <w:r>
              <w:rPr>
                <w:rFonts w:ascii="Calibri" w:hAnsi="Calibri"/>
                <w:b/>
                <w:color w:val="E5484D"/>
                <w:sz w:val="22"/>
              </w:rPr>
              <w:t>−1.9%</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SCE Revenue</w:t>
            </w:r>
          </w:p>
        </w:tc>
        <w:tc>
          <w:tcPr>
            <w:tcW w:type="dxa" w:w="1440"/>
          </w:tcPr>
          <w:p>
            <w:r>
              <w:rPr>
                <w:rFonts w:ascii="Calibri" w:hAnsi="Calibri"/>
                <w:sz w:val="22"/>
              </w:rPr>
              <w:t>$3.97B</w:t>
            </w:r>
          </w:p>
        </w:tc>
        <w:tc>
          <w:tcPr>
            <w:tcW w:type="dxa" w:w="1440"/>
          </w:tcPr>
          <w:p>
            <w:r>
              <w:rPr>
                <w:rFonts w:ascii="Calibri" w:hAnsi="Calibri"/>
                <w:sz w:val="22"/>
              </w:rPr>
              <w:t>$3.69B</w:t>
            </w:r>
          </w:p>
        </w:tc>
        <w:tc>
          <w:tcPr>
            <w:tcW w:type="dxa" w:w="1440"/>
          </w:tcPr>
          <w:p>
            <w:r>
              <w:rPr>
                <w:rFonts w:ascii="Calibri" w:hAnsi="Calibri"/>
                <w:b/>
                <w:color w:val="30A46C"/>
                <w:sz w:val="22"/>
              </w:rPr>
              <w:t>+7.6%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Core EPS</w:t>
            </w:r>
          </w:p>
        </w:tc>
        <w:tc>
          <w:tcPr>
            <w:tcW w:type="dxa" w:w="1440"/>
          </w:tcPr>
          <w:p>
            <w:r>
              <w:rPr>
                <w:rFonts w:ascii="Calibri" w:hAnsi="Calibri"/>
                <w:sz w:val="22"/>
              </w:rPr>
              <w:t>$1.51</w:t>
            </w:r>
          </w:p>
        </w:tc>
        <w:tc>
          <w:tcPr>
            <w:tcW w:type="dxa" w:w="1440"/>
          </w:tcPr>
          <w:p>
            <w:r>
              <w:rPr>
                <w:rFonts w:ascii="Calibri" w:hAnsi="Calibri"/>
                <w:sz w:val="22"/>
              </w:rPr>
              <w:t>$1.39</w:t>
            </w:r>
          </w:p>
        </w:tc>
        <w:tc>
          <w:tcPr>
            <w:tcW w:type="dxa" w:w="1440"/>
          </w:tcPr>
          <w:p>
            <w:r>
              <w:rPr>
                <w:rFonts w:ascii="Calibri" w:hAnsi="Calibri"/>
                <w:b/>
                <w:color w:val="30A46C"/>
                <w:sz w:val="22"/>
              </w:rPr>
              <w:t>+8.6%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SCE Revenue</w:t>
            </w:r>
          </w:p>
        </w:tc>
        <w:tc>
          <w:tcPr>
            <w:tcW w:type="dxa" w:w="1440"/>
          </w:tcPr>
          <w:p>
            <w:r>
              <w:rPr>
                <w:rFonts w:ascii="Calibri" w:hAnsi="Calibri"/>
                <w:sz w:val="22"/>
              </w:rPr>
              <w:t>$5.19B</w:t>
            </w:r>
          </w:p>
        </w:tc>
        <w:tc>
          <w:tcPr>
            <w:tcW w:type="dxa" w:w="1440"/>
          </w:tcPr>
          <w:p>
            <w:r>
              <w:rPr>
                <w:rFonts w:ascii="Calibri" w:hAnsi="Calibri"/>
                <w:sz w:val="22"/>
              </w:rPr>
              <w:t>$4.98B</w:t>
            </w:r>
          </w:p>
        </w:tc>
        <w:tc>
          <w:tcPr>
            <w:tcW w:type="dxa" w:w="1440"/>
          </w:tcPr>
          <w:p>
            <w:r>
              <w:rPr>
                <w:rFonts w:ascii="Calibri" w:hAnsi="Calibri"/>
                <w:b/>
                <w:color w:val="30A46C"/>
                <w:sz w:val="22"/>
              </w:rPr>
              <w:t>+4.2%</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EIX has beaten Core EPS consensus in 5 of the last 7 reported quarters, with the misses concentrated in Q2 2025 and Q4 2024 — both periods of elevated wildfire-related uncertainty. SCE Revenue has beaten in 5 of 7 quarters, with misses in Q1 2025 and Q1 2026, suggesting revenue is harder to predict than earnings due to regulatory timing. The consistent EPS beat pattern (avg. ~+10% surprise on beats) suggests management guides conservatively.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on April 28, 2026 — management reaffirmed $5.90–$6.20 Core EPS for FY 2026 and the 5–7% long-term CAGR. The only post-earnings development was a May 5, 2026 $500M senior notes issuance (8-K), which is consistent with the stated financing plan and does not alter guidance. Tone remains confident but with urgency around SB 254 legislation.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Core EPS</w:t>
            </w:r>
          </w:p>
        </w:tc>
        <w:tc>
          <w:tcPr>
            <w:tcW w:type="dxa" w:w="1728"/>
          </w:tcPr>
          <w:p>
            <w:r>
              <w:rPr>
                <w:rFonts w:ascii="Calibri" w:hAnsi="Calibri"/>
                <w:sz w:val="22"/>
              </w:rPr>
              <w:t>$5.90–$6.20</w:t>
            </w:r>
          </w:p>
        </w:tc>
        <w:tc>
          <w:tcPr>
            <w:tcW w:type="dxa" w:w="1728"/>
          </w:tcPr>
          <w:p>
            <w:r>
              <w:rPr>
                <w:rFonts w:ascii="Calibri" w:hAnsi="Calibri"/>
                <w:sz w:val="22"/>
              </w:rPr>
              <w:t>— (Unchanged)</w:t>
            </w:r>
          </w:p>
        </w:tc>
        <w:tc>
          <w:tcPr>
            <w:tcW w:type="dxa" w:w="1728"/>
          </w:tcPr>
          <w:p>
            <w:r>
              <w:rPr>
                <w:rFonts w:ascii="Calibri" w:hAnsi="Calibri"/>
                <w:sz w:val="22"/>
              </w:rPr>
              <w:t>$6.13</w:t>
            </w:r>
          </w:p>
        </w:tc>
        <w:tc>
          <w:tcPr>
            <w:tcW w:type="dxa" w:w="1728"/>
          </w:tcPr>
          <w:p>
            <w:r>
              <w:rPr>
                <w:rFonts w:ascii="Calibri" w:hAnsi="Calibri"/>
                <w:sz w:val="22"/>
              </w:rPr>
              <w:t>Reaffirmed Apr 28, 2026; confident tone; 'cleaner regulatory slate' cited</w:t>
            </w:r>
          </w:p>
        </w:tc>
      </w:tr>
      <w:tr>
        <w:tc>
          <w:tcPr>
            <w:tcW w:type="dxa" w:w="1728"/>
          </w:tcPr>
          <w:p>
            <w:r>
              <w:rPr>
                <w:rFonts w:ascii="Calibri" w:hAnsi="Calibri"/>
                <w:sz w:val="22"/>
              </w:rPr>
              <w:t>FY 2027 Core EPS</w:t>
            </w:r>
          </w:p>
        </w:tc>
        <w:tc>
          <w:tcPr>
            <w:tcW w:type="dxa" w:w="1728"/>
          </w:tcPr>
          <w:p>
            <w:r>
              <w:rPr>
                <w:rFonts w:ascii="Calibri" w:hAnsi="Calibri"/>
                <w:sz w:val="22"/>
              </w:rPr>
              <w:t>$6.25–$6.65</w:t>
            </w:r>
          </w:p>
        </w:tc>
        <w:tc>
          <w:tcPr>
            <w:tcW w:type="dxa" w:w="1728"/>
          </w:tcPr>
          <w:p>
            <w:r>
              <w:rPr>
                <w:rFonts w:ascii="Calibri" w:hAnsi="Calibri"/>
                <w:sz w:val="22"/>
              </w:rPr>
              <w:t>— (Unchanged)</w:t>
            </w:r>
          </w:p>
        </w:tc>
        <w:tc>
          <w:tcPr>
            <w:tcW w:type="dxa" w:w="1728"/>
          </w:tcPr>
          <w:p>
            <w:r>
              <w:rPr>
                <w:rFonts w:ascii="Calibri" w:hAnsi="Calibri"/>
                <w:sz w:val="22"/>
              </w:rPr>
              <w:t>$6.53</w:t>
            </w:r>
          </w:p>
        </w:tc>
        <w:tc>
          <w:tcPr>
            <w:tcW w:type="dxa" w:w="1728"/>
          </w:tcPr>
          <w:p>
            <w:r>
              <w:rPr>
                <w:rFonts w:ascii="Calibri" w:hAnsi="Calibri"/>
                <w:sz w:val="22"/>
              </w:rPr>
              <w:t>Reaffirmed Apr 28; expected at high end of 5–7% LT growth range</w:t>
            </w:r>
          </w:p>
        </w:tc>
      </w:tr>
      <w:tr>
        <w:tc>
          <w:tcPr>
            <w:tcW w:type="dxa" w:w="1728"/>
          </w:tcPr>
          <w:p>
            <w:r>
              <w:rPr>
                <w:rFonts w:ascii="Calibri" w:hAnsi="Calibri"/>
                <w:sz w:val="22"/>
              </w:rPr>
              <w:t>Long-Term Core EPS CAGR (2025–2030)</w:t>
            </w:r>
          </w:p>
        </w:tc>
        <w:tc>
          <w:tcPr>
            <w:tcW w:type="dxa" w:w="1728"/>
          </w:tcPr>
          <w:p>
            <w:r>
              <w:rPr>
                <w:rFonts w:ascii="Calibri" w:hAnsi="Calibri"/>
                <w:sz w:val="22"/>
              </w:rPr>
              <w:t>5–7% from $5.84 base</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Reaffirmed Apr 28; no equity issuance through 2030</w:t>
            </w:r>
          </w:p>
        </w:tc>
      </w:tr>
      <w:tr>
        <w:tc>
          <w:tcPr>
            <w:tcW w:type="dxa" w:w="1728"/>
          </w:tcPr>
          <w:p>
            <w:r>
              <w:rPr>
                <w:rFonts w:ascii="Calibri" w:hAnsi="Calibri"/>
                <w:sz w:val="22"/>
              </w:rPr>
              <w:t>FY 2026 CapEx (SCE)</w:t>
            </w:r>
          </w:p>
        </w:tc>
        <w:tc>
          <w:tcPr>
            <w:tcW w:type="dxa" w:w="1728"/>
          </w:tcPr>
          <w:p>
            <w:r>
              <w:rPr>
                <w:rFonts w:ascii="Calibri" w:hAnsi="Calibri"/>
                <w:sz w:val="22"/>
              </w:rPr>
              <w:t>$7.3B ($6.5B CPUC + $0.8B FERC)</w:t>
            </w:r>
          </w:p>
        </w:tc>
        <w:tc>
          <w:tcPr>
            <w:tcW w:type="dxa" w:w="1728"/>
          </w:tcPr>
          <w:p>
            <w:r>
              <w:rPr>
                <w:rFonts w:ascii="Calibri" w:hAnsi="Calibri"/>
                <w:sz w:val="22"/>
              </w:rPr>
              <w:t>— (Unchanged)</w:t>
            </w:r>
          </w:p>
        </w:tc>
        <w:tc>
          <w:tcPr>
            <w:tcW w:type="dxa" w:w="1728"/>
          </w:tcPr>
          <w:p>
            <w:r>
              <w:rPr>
                <w:rFonts w:ascii="Calibri" w:hAnsi="Calibri"/>
                <w:sz w:val="22"/>
              </w:rPr>
              <w:t>$7.09B</w:t>
            </w:r>
          </w:p>
        </w:tc>
        <w:tc>
          <w:tcPr>
            <w:tcW w:type="dxa" w:w="1728"/>
          </w:tcPr>
          <w:p>
            <w:r>
              <w:rPr>
                <w:rFonts w:ascii="Calibri" w:hAnsi="Calibri"/>
                <w:sz w:val="22"/>
              </w:rPr>
              <w:t>Consensus ~3% below guidance; execution risk from permitting/supply chain</w:t>
            </w:r>
          </w:p>
        </w:tc>
      </w:tr>
      <w:tr>
        <w:tc>
          <w:tcPr>
            <w:tcW w:type="dxa" w:w="1728"/>
          </w:tcPr>
          <w:p>
            <w:r>
              <w:rPr>
                <w:rFonts w:ascii="Calibri" w:hAnsi="Calibri"/>
                <w:sz w:val="22"/>
              </w:rPr>
              <w:t>5-Year CapEx Plan (2026–2030)</w:t>
            </w:r>
          </w:p>
        </w:tc>
        <w:tc>
          <w:tcPr>
            <w:tcW w:type="dxa" w:w="1728"/>
          </w:tcPr>
          <w:p>
            <w:r>
              <w:rPr>
                <w:rFonts w:ascii="Calibri" w:hAnsi="Calibri"/>
                <w:sz w:val="22"/>
              </w:rPr>
              <w:t>$38–$41B</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Reaffirmed Apr 28; AMI 2.0 ($3.1B through 2033) ~50% already in plan</w:t>
            </w:r>
          </w:p>
        </w:tc>
      </w:tr>
      <w:tr>
        <w:tc>
          <w:tcPr>
            <w:tcW w:type="dxa" w:w="1728"/>
          </w:tcPr>
          <w:p>
            <w:r>
              <w:rPr>
                <w:rFonts w:ascii="Calibri" w:hAnsi="Calibri"/>
                <w:sz w:val="22"/>
              </w:rPr>
              <w:t>Rate Base CAGR (2025–2030)</w:t>
            </w:r>
          </w:p>
        </w:tc>
        <w:tc>
          <w:tcPr>
            <w:tcW w:type="dxa" w:w="1728"/>
          </w:tcPr>
          <w:p>
            <w:r>
              <w:rPr>
                <w:rFonts w:ascii="Calibri" w:hAnsi="Calibri"/>
                <w:sz w:val="22"/>
              </w:rPr>
              <w:t>~7% CAGR; FY 2026 weighted avg $50.8B</w:t>
            </w:r>
          </w:p>
        </w:tc>
        <w:tc>
          <w:tcPr>
            <w:tcW w:type="dxa" w:w="1728"/>
          </w:tcPr>
          <w:p>
            <w:r>
              <w:rPr>
                <w:rFonts w:ascii="Calibri" w:hAnsi="Calibri"/>
                <w:sz w:val="22"/>
              </w:rPr>
              <w:t>— (Unchanged)</w:t>
            </w:r>
          </w:p>
        </w:tc>
        <w:tc>
          <w:tcPr>
            <w:tcW w:type="dxa" w:w="1728"/>
          </w:tcPr>
          <w:p>
            <w:r>
              <w:rPr>
                <w:rFonts w:ascii="Calibri" w:hAnsi="Calibri"/>
                <w:sz w:val="22"/>
              </w:rPr>
              <w:t>$50.1B (FY 2026 est.)</w:t>
            </w:r>
          </w:p>
        </w:tc>
        <w:tc>
          <w:tcPr>
            <w:tcW w:type="dxa" w:w="1728"/>
          </w:tcPr>
          <w:p>
            <w:r>
              <w:rPr>
                <w:rFonts w:ascii="Calibri" w:hAnsi="Calibri"/>
                <w:sz w:val="22"/>
              </w:rPr>
              <w:t>Consensus slightly below guidance; tracking in line with 7% CAGR</w:t>
            </w:r>
          </w:p>
        </w:tc>
      </w:tr>
      <w:tr>
        <w:tc>
          <w:tcPr>
            <w:tcW w:type="dxa" w:w="1728"/>
          </w:tcPr>
          <w:p>
            <w:r>
              <w:rPr>
                <w:rFonts w:ascii="Calibri" w:hAnsi="Calibri"/>
                <w:sz w:val="22"/>
              </w:rPr>
              <w:t>FFO / Total Debt Target</w:t>
            </w:r>
          </w:p>
        </w:tc>
        <w:tc>
          <w:tcPr>
            <w:tcW w:type="dxa" w:w="1728"/>
          </w:tcPr>
          <w:p>
            <w:r>
              <w:rPr>
                <w:rFonts w:ascii="Calibri" w:hAnsi="Calibri"/>
                <w:sz w:val="22"/>
              </w:rPr>
              <w:t>15–17% framework</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EIX cited as one of strongest FFO/debt ratios among peers by S&amp;P</w:t>
            </w:r>
          </w:p>
        </w:tc>
      </w:tr>
      <w:tr>
        <w:tc>
          <w:tcPr>
            <w:tcW w:type="dxa" w:w="1728"/>
          </w:tcPr>
          <w:p>
            <w:r>
              <w:rPr>
                <w:rFonts w:ascii="Calibri" w:hAnsi="Calibri"/>
                <w:sz w:val="22"/>
              </w:rPr>
              <w:t>Equity Issuance (2026–2030)</w:t>
            </w:r>
          </w:p>
        </w:tc>
        <w:tc>
          <w:tcPr>
            <w:tcW w:type="dxa" w:w="1728"/>
          </w:tcPr>
          <w:p>
            <w:r>
              <w:rPr>
                <w:rFonts w:ascii="Calibri" w:hAnsi="Calibri"/>
                <w:sz w:val="22"/>
              </w:rPr>
              <w:t>None planned</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No new common equity through 2030; preferred stock redemption completed Q1 2026</w:t>
            </w:r>
          </w:p>
        </w:tc>
      </w:tr>
    </w:tbl>
    <w:p>
      <w:r>
        <w:rPr>
          <w:rFonts w:ascii="Calibri" w:hAnsi="Calibri"/>
          <w:b/>
          <w:color w:val="525866"/>
          <w:sz w:val="22"/>
        </w:rPr>
        <w:t xml:space="preserve">Post-Earnings Developments: </w:t>
      </w:r>
      <w:r>
        <w:rPr>
          <w:rFonts w:ascii="Calibri" w:hAnsi="Calibri"/>
          <w:color w:val="525866"/>
          <w:sz w:val="22"/>
        </w:rPr>
        <w:t>On May 5, 2026, EIX filed an 8-K disclosing the issuance of $500M in 5.00% Senior Notes due 2028 — consistent with the stated financing plan of $9–12B incremental debt over 2026–2030 and does not alter any guidance. No other post-earnings guidance revisions or pre-announcements have been filed. The CFO transition (Maria Rigatti retiring September 1, 2026; Aaron Moss assuming CFO role July 3, 2026) was announced on the Q1 call and is proceeding as planned.</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Core EPS have declined ~16% from the post-Q1 2025 baseline (~$1.51) to current ~$1.26, while FY 2026 estimates have remained broadly stable near the guidance midpoint. The Q2 estimate compression reflects the street de-risking the quarter after the Q2 2025 miss, not a deterioration in the fundamental outlook — the gap between current consensus and guidance midpoint is narrow and represents cushion rather than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2025 Earnings (May 5, 2025)</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EPS — Q2 2026</w:t>
            </w:r>
          </w:p>
        </w:tc>
        <w:tc>
          <w:tcPr>
            <w:tcW w:type="dxa" w:w="1080"/>
          </w:tcPr>
          <w:p>
            <w:r>
              <w:rPr>
                <w:rFonts w:ascii="Calibri" w:hAnsi="Calibri"/>
                <w:sz w:val="22"/>
              </w:rPr>
              <w:t>~$1.51</w:t>
            </w:r>
          </w:p>
        </w:tc>
        <w:tc>
          <w:tcPr>
            <w:tcW w:type="dxa" w:w="1080"/>
          </w:tcPr>
          <w:p>
            <w:r>
              <w:rPr>
                <w:rFonts w:ascii="Calibri" w:hAnsi="Calibri"/>
                <w:sz w:val="22"/>
              </w:rPr>
              <w:t>$1.26</w:t>
            </w:r>
          </w:p>
        </w:tc>
        <w:tc>
          <w:tcPr>
            <w:tcW w:type="dxa" w:w="1080"/>
          </w:tcPr>
          <w:p>
            <w:r>
              <w:rPr>
                <w:rFonts w:ascii="Calibri" w:hAnsi="Calibri"/>
                <w:b/>
                <w:color w:val="E5484D"/>
                <w:sz w:val="22"/>
              </w:rPr>
              <w:t>−16.6%</w:t>
            </w:r>
          </w:p>
        </w:tc>
        <w:tc>
          <w:tcPr>
            <w:tcW w:type="dxa" w:w="1080"/>
          </w:tcPr>
          <w:p>
            <w:r>
              <w:rPr>
                <w:rFonts w:ascii="Calibri" w:hAnsi="Calibri"/>
                <w:sz w:val="22"/>
              </w:rPr>
              <w:t>N/A (no quarterly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EPS — FY 2026</w:t>
            </w:r>
          </w:p>
        </w:tc>
        <w:tc>
          <w:tcPr>
            <w:tcW w:type="dxa" w:w="1080"/>
          </w:tcPr>
          <w:p>
            <w:r>
              <w:rPr>
                <w:rFonts w:ascii="Calibri" w:hAnsi="Calibri"/>
                <w:sz w:val="22"/>
              </w:rPr>
              <w:t>~$6.12</w:t>
            </w:r>
          </w:p>
        </w:tc>
        <w:tc>
          <w:tcPr>
            <w:tcW w:type="dxa" w:w="1080"/>
          </w:tcPr>
          <w:p>
            <w:r>
              <w:rPr>
                <w:rFonts w:ascii="Calibri" w:hAnsi="Calibri"/>
                <w:sz w:val="22"/>
              </w:rPr>
              <w:t>$6.13</w:t>
            </w:r>
          </w:p>
        </w:tc>
        <w:tc>
          <w:tcPr>
            <w:tcW w:type="dxa" w:w="1080"/>
          </w:tcPr>
          <w:p>
            <w:r>
              <w:rPr>
                <w:rFonts w:ascii="Calibri" w:hAnsi="Calibri"/>
                <w:b/>
                <w:color w:val="30A46C"/>
                <w:sz w:val="22"/>
              </w:rPr>
              <w:t>+0.2%</w:t>
            </w:r>
          </w:p>
        </w:tc>
        <w:tc>
          <w:tcPr>
            <w:tcW w:type="dxa" w:w="1080"/>
          </w:tcPr>
          <w:p>
            <w:r>
              <w:rPr>
                <w:rFonts w:ascii="Calibri" w:hAnsi="Calibri"/>
                <w:sz w:val="22"/>
              </w:rPr>
              <w:t>$5.90–$6.20</w:t>
            </w:r>
          </w:p>
        </w:tc>
        <w:tc>
          <w:tcPr>
            <w:tcW w:type="dxa" w:w="1080"/>
          </w:tcPr>
          <w:p>
            <w:r>
              <w:rPr>
                <w:rFonts w:ascii="Calibri" w:hAnsi="Calibri"/>
                <w:sz w:val="22"/>
              </w:rPr>
              <w:t>$5.90–$6.20 (Unchanged)</w:t>
            </w:r>
          </w:p>
        </w:tc>
        <w:tc>
          <w:tcPr>
            <w:tcW w:type="dxa" w:w="1080"/>
          </w:tcPr>
          <w:p>
            <w:r>
              <w:rPr>
                <w:rFonts w:ascii="Calibri" w:hAnsi="Calibri"/>
                <w:sz w:val="22"/>
              </w:rPr>
              <w:t>No change</w:t>
            </w:r>
          </w:p>
        </w:tc>
        <w:tc>
          <w:tcPr>
            <w:tcW w:type="dxa" w:w="1080"/>
          </w:tcPr>
          <w:p>
            <w:r>
              <w:rPr>
                <w:rFonts w:ascii="Calibri" w:hAnsi="Calibri"/>
                <w:sz w:val="22"/>
              </w:rPr>
              <w:t>+1.3% above midpoint ($6.05)</w:t>
            </w:r>
          </w:p>
        </w:tc>
      </w:tr>
      <w:tr>
        <w:tc>
          <w:tcPr>
            <w:tcW w:type="dxa" w:w="1080"/>
          </w:tcPr>
          <w:p>
            <w:r>
              <w:rPr>
                <w:rFonts w:ascii="Calibri" w:hAnsi="Calibri"/>
                <w:sz w:val="22"/>
              </w:rPr>
              <w:t>Core EPS — FY 2027</w:t>
            </w:r>
          </w:p>
        </w:tc>
        <w:tc>
          <w:tcPr>
            <w:tcW w:type="dxa" w:w="1080"/>
          </w:tcPr>
          <w:p>
            <w:r>
              <w:rPr>
                <w:rFonts w:ascii="Calibri" w:hAnsi="Calibri"/>
                <w:sz w:val="22"/>
              </w:rPr>
              <w:t>~$6.53</w:t>
            </w:r>
          </w:p>
        </w:tc>
        <w:tc>
          <w:tcPr>
            <w:tcW w:type="dxa" w:w="1080"/>
          </w:tcPr>
          <w:p>
            <w:r>
              <w:rPr>
                <w:rFonts w:ascii="Calibri" w:hAnsi="Calibri"/>
                <w:sz w:val="22"/>
              </w:rPr>
              <w:t>$6.53</w:t>
            </w:r>
          </w:p>
        </w:tc>
        <w:tc>
          <w:tcPr>
            <w:tcW w:type="dxa" w:w="1080"/>
          </w:tcPr>
          <w:p>
            <w:r>
              <w:rPr>
                <w:rFonts w:ascii="Calibri" w:hAnsi="Calibri"/>
                <w:sz w:val="22"/>
              </w:rPr>
              <w:t>~Flat</w:t>
            </w:r>
          </w:p>
        </w:tc>
        <w:tc>
          <w:tcPr>
            <w:tcW w:type="dxa" w:w="1080"/>
          </w:tcPr>
          <w:p>
            <w:r>
              <w:rPr>
                <w:rFonts w:ascii="Calibri" w:hAnsi="Calibri"/>
                <w:sz w:val="22"/>
              </w:rPr>
              <w:t>$6.25–$6.65</w:t>
            </w:r>
          </w:p>
        </w:tc>
        <w:tc>
          <w:tcPr>
            <w:tcW w:type="dxa" w:w="1080"/>
          </w:tcPr>
          <w:p>
            <w:r>
              <w:rPr>
                <w:rFonts w:ascii="Calibri" w:hAnsi="Calibri"/>
                <w:sz w:val="22"/>
              </w:rPr>
              <w:t>$6.25–$6.65 (Unchanged)</w:t>
            </w:r>
          </w:p>
        </w:tc>
        <w:tc>
          <w:tcPr>
            <w:tcW w:type="dxa" w:w="1080"/>
          </w:tcPr>
          <w:p>
            <w:r>
              <w:rPr>
                <w:rFonts w:ascii="Calibri" w:hAnsi="Calibri"/>
                <w:sz w:val="22"/>
              </w:rPr>
              <w:t>No change</w:t>
            </w:r>
          </w:p>
        </w:tc>
        <w:tc>
          <w:tcPr>
            <w:tcW w:type="dxa" w:w="1080"/>
          </w:tcPr>
          <w:p>
            <w:r>
              <w:rPr>
                <w:rFonts w:ascii="Calibri" w:hAnsi="Calibri"/>
                <w:sz w:val="22"/>
              </w:rPr>
              <w:t>+1.7% above midpoint ($6.45)</w:t>
            </w:r>
          </w:p>
        </w:tc>
      </w:tr>
      <w:tr>
        <w:tc>
          <w:tcPr>
            <w:tcW w:type="dxa" w:w="1080"/>
          </w:tcPr>
          <w:p>
            <w:r>
              <w:rPr>
                <w:rFonts w:ascii="Calibri" w:hAnsi="Calibri"/>
                <w:sz w:val="22"/>
              </w:rPr>
              <w:t>SCE Revenue — Q2 2026</w:t>
            </w:r>
          </w:p>
        </w:tc>
        <w:tc>
          <w:tcPr>
            <w:tcW w:type="dxa" w:w="1080"/>
          </w:tcPr>
          <w:p>
            <w:r>
              <w:rPr>
                <w:rFonts w:ascii="Calibri" w:hAnsi="Calibri"/>
                <w:sz w:val="22"/>
              </w:rPr>
              <w:t>~$4.75B</w:t>
            </w:r>
          </w:p>
        </w:tc>
        <w:tc>
          <w:tcPr>
            <w:tcW w:type="dxa" w:w="1080"/>
          </w:tcPr>
          <w:p>
            <w:r>
              <w:rPr>
                <w:rFonts w:ascii="Calibri" w:hAnsi="Calibri"/>
                <w:sz w:val="22"/>
              </w:rPr>
              <w:t>$4.78B</w:t>
            </w:r>
          </w:p>
        </w:tc>
        <w:tc>
          <w:tcPr>
            <w:tcW w:type="dxa" w:w="1080"/>
          </w:tcPr>
          <w:p>
            <w:r>
              <w:rPr>
                <w:rFonts w:ascii="Calibri" w:hAnsi="Calibri"/>
                <w:sz w:val="22"/>
              </w:rPr>
              <w:t>+0.6%</w:t>
            </w:r>
          </w:p>
        </w:tc>
        <w:tc>
          <w:tcPr>
            <w:tcW w:type="dxa" w:w="1080"/>
          </w:tcPr>
          <w:p>
            <w:r>
              <w:rPr>
                <w:rFonts w:ascii="Calibri" w:hAnsi="Calibri"/>
                <w:sz w:val="22"/>
              </w:rPr>
              <w:t>N/A (no quarterly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SCE Revenue — FY 2026</w:t>
            </w:r>
          </w:p>
        </w:tc>
        <w:tc>
          <w:tcPr>
            <w:tcW w:type="dxa" w:w="1080"/>
          </w:tcPr>
          <w:p>
            <w:r>
              <w:rPr>
                <w:rFonts w:ascii="Calibri" w:hAnsi="Calibri"/>
                <w:sz w:val="22"/>
              </w:rPr>
              <w:t>~$19.5B</w:t>
            </w:r>
          </w:p>
        </w:tc>
        <w:tc>
          <w:tcPr>
            <w:tcW w:type="dxa" w:w="1080"/>
          </w:tcPr>
          <w:p>
            <w:r>
              <w:rPr>
                <w:rFonts w:ascii="Calibri" w:hAnsi="Calibri"/>
                <w:sz w:val="22"/>
              </w:rPr>
              <w:t>$19.1B</w:t>
            </w:r>
          </w:p>
        </w:tc>
        <w:tc>
          <w:tcPr>
            <w:tcW w:type="dxa" w:w="1080"/>
          </w:tcPr>
          <w:p>
            <w:r>
              <w:rPr>
                <w:rFonts w:ascii="Calibri" w:hAnsi="Calibri"/>
                <w:b/>
                <w:color w:val="E5484D"/>
                <w:sz w:val="22"/>
              </w:rPr>
              <w:t>−2.0%</w:t>
            </w:r>
          </w:p>
        </w:tc>
        <w:tc>
          <w:tcPr>
            <w:tcW w:type="dxa" w:w="1080"/>
          </w:tcPr>
          <w:p>
            <w:r>
              <w:rPr>
                <w:rFonts w:ascii="Calibri" w:hAnsi="Calibri"/>
                <w:sz w:val="22"/>
              </w:rPr>
              <w:t>N/A (no revenue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SCE CapEx — FY 2026</w:t>
            </w:r>
          </w:p>
        </w:tc>
        <w:tc>
          <w:tcPr>
            <w:tcW w:type="dxa" w:w="1080"/>
          </w:tcPr>
          <w:p>
            <w:r>
              <w:rPr>
                <w:rFonts w:ascii="Calibri" w:hAnsi="Calibri"/>
                <w:sz w:val="22"/>
              </w:rPr>
              <w:t>~$6.90B</w:t>
            </w:r>
          </w:p>
        </w:tc>
        <w:tc>
          <w:tcPr>
            <w:tcW w:type="dxa" w:w="1080"/>
          </w:tcPr>
          <w:p>
            <w:r>
              <w:rPr>
                <w:rFonts w:ascii="Calibri" w:hAnsi="Calibri"/>
                <w:sz w:val="22"/>
              </w:rPr>
              <w:t>$7.09B</w:t>
            </w:r>
          </w:p>
        </w:tc>
        <w:tc>
          <w:tcPr>
            <w:tcW w:type="dxa" w:w="1080"/>
          </w:tcPr>
          <w:p>
            <w:r>
              <w:rPr>
                <w:rFonts w:ascii="Calibri" w:hAnsi="Calibri"/>
                <w:b/>
                <w:color w:val="30A46C"/>
                <w:sz w:val="22"/>
              </w:rPr>
              <w:t>+2.8%</w:t>
            </w:r>
          </w:p>
        </w:tc>
        <w:tc>
          <w:tcPr>
            <w:tcW w:type="dxa" w:w="1080"/>
          </w:tcPr>
          <w:p>
            <w:r>
              <w:rPr>
                <w:rFonts w:ascii="Calibri" w:hAnsi="Calibri"/>
                <w:sz w:val="22"/>
              </w:rPr>
              <w:t>$7.3B</w:t>
            </w:r>
          </w:p>
        </w:tc>
        <w:tc>
          <w:tcPr>
            <w:tcW w:type="dxa" w:w="1080"/>
          </w:tcPr>
          <w:p>
            <w:r>
              <w:rPr>
                <w:rFonts w:ascii="Calibri" w:hAnsi="Calibri"/>
                <w:sz w:val="22"/>
              </w:rPr>
              <w:t>$7.3B (Unchanged)</w:t>
            </w:r>
          </w:p>
        </w:tc>
        <w:tc>
          <w:tcPr>
            <w:tcW w:type="dxa" w:w="1080"/>
          </w:tcPr>
          <w:p>
            <w:r>
              <w:rPr>
                <w:rFonts w:ascii="Calibri" w:hAnsi="Calibri"/>
                <w:sz w:val="22"/>
              </w:rPr>
              <w:t>No change</w:t>
            </w:r>
          </w:p>
        </w:tc>
        <w:tc>
          <w:tcPr>
            <w:tcW w:type="dxa" w:w="1080"/>
          </w:tcPr>
          <w:p>
            <w:r>
              <w:rPr>
                <w:rFonts w:ascii="Calibri" w:hAnsi="Calibri"/>
                <w:sz w:val="22"/>
              </w:rPr>
              <w:t>−2.9% below guidance</w:t>
            </w:r>
          </w:p>
        </w:tc>
      </w:tr>
      <w:tr>
        <w:tc>
          <w:tcPr>
            <w:tcW w:type="dxa" w:w="1080"/>
          </w:tcPr>
          <w:p>
            <w:r>
              <w:rPr>
                <w:rFonts w:ascii="Calibri" w:hAnsi="Calibri"/>
                <w:sz w:val="22"/>
              </w:rPr>
              <w:t>Avg. Rate Base — FY 2026</w:t>
            </w:r>
          </w:p>
        </w:tc>
        <w:tc>
          <w:tcPr>
            <w:tcW w:type="dxa" w:w="1080"/>
          </w:tcPr>
          <w:p>
            <w:r>
              <w:rPr>
                <w:rFonts w:ascii="Calibri" w:hAnsi="Calibri"/>
                <w:sz w:val="22"/>
              </w:rPr>
              <w:t>~$49.9B</w:t>
            </w:r>
          </w:p>
        </w:tc>
        <w:tc>
          <w:tcPr>
            <w:tcW w:type="dxa" w:w="1080"/>
          </w:tcPr>
          <w:p>
            <w:r>
              <w:rPr>
                <w:rFonts w:ascii="Calibri" w:hAnsi="Calibri"/>
                <w:sz w:val="22"/>
              </w:rPr>
              <w:t>$51.0B</w:t>
            </w:r>
          </w:p>
        </w:tc>
        <w:tc>
          <w:tcPr>
            <w:tcW w:type="dxa" w:w="1080"/>
          </w:tcPr>
          <w:p>
            <w:r>
              <w:rPr>
                <w:rFonts w:ascii="Calibri" w:hAnsi="Calibri"/>
                <w:b/>
                <w:color w:val="30A46C"/>
                <w:sz w:val="22"/>
              </w:rPr>
              <w:t>+2.2%</w:t>
            </w:r>
          </w:p>
        </w:tc>
        <w:tc>
          <w:tcPr>
            <w:tcW w:type="dxa" w:w="1080"/>
          </w:tcPr>
          <w:p>
            <w:r>
              <w:rPr>
                <w:rFonts w:ascii="Calibri" w:hAnsi="Calibri"/>
                <w:sz w:val="22"/>
              </w:rPr>
              <w:t>~$50.8B</w:t>
            </w:r>
          </w:p>
        </w:tc>
        <w:tc>
          <w:tcPr>
            <w:tcW w:type="dxa" w:w="1080"/>
          </w:tcPr>
          <w:p>
            <w:r>
              <w:rPr>
                <w:rFonts w:ascii="Calibri" w:hAnsi="Calibri"/>
                <w:sz w:val="22"/>
              </w:rPr>
              <w:t>~$50.8B (Unchanged)</w:t>
            </w:r>
          </w:p>
        </w:tc>
        <w:tc>
          <w:tcPr>
            <w:tcW w:type="dxa" w:w="1080"/>
          </w:tcPr>
          <w:p>
            <w:r>
              <w:rPr>
                <w:rFonts w:ascii="Calibri" w:hAnsi="Calibri"/>
                <w:sz w:val="22"/>
              </w:rPr>
              <w:t>No change</w:t>
            </w:r>
          </w:p>
        </w:tc>
        <w:tc>
          <w:tcPr>
            <w:tcW w:type="dxa" w:w="1080"/>
          </w:tcPr>
          <w:p>
            <w:r>
              <w:rPr>
                <w:rFonts w:ascii="Calibri" w:hAnsi="Calibri"/>
                <w:sz w:val="22"/>
              </w:rPr>
              <w:t>+0.4% above guidance</w:t>
            </w:r>
          </w:p>
        </w:tc>
      </w:tr>
    </w:tbl>
    <w:p>
      <w:r>
        <w:rPr>
          <w:rFonts w:ascii="Calibri" w:hAnsi="Calibri"/>
          <w:b/>
          <w:color w:val="525866"/>
          <w:sz w:val="22"/>
        </w:rPr>
        <w:t xml:space="preserve">Commentary: </w:t>
      </w:r>
      <w:r>
        <w:rPr>
          <w:rFonts w:ascii="Calibri" w:hAnsi="Calibri"/>
          <w:color w:val="525866"/>
          <w:sz w:val="22"/>
        </w:rPr>
        <w:t>The Q2 2026 Core EPS estimate has declined ~17% from the post-Q1 2025 baseline, but this reflects seasonal de-risking rather than fundamental deterioration — Q2 is historically EIX's weakest quarter. FY 2026 and FY 2027 estimates are essentially flat since the last earnings call and sit just above the guidance midpoints, suggesting the street is aligned with management's targets. The CapEx consensus running ~3% below guidance is worth monitoring as a potential upside catalyst if execution accelerates.</w:t>
      </w:r>
    </w:p>
    <w:p>
      <w:r>
        <w:rPr>
          <w:rFonts w:ascii="Calibri" w:hAnsi="Calibri"/>
          <w:i/>
          <w:color w:val="525866"/>
          <w:sz w:val="22"/>
        </w:rPr>
        <w:t>Source: Visible Alpha Consensus and Actuals Data. Baseline as of May 5, 2025 (5 trading days post Q1 2025 earnings on April 28, 2025).</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EIX has significantly outperformed both XLU and the S&amp;P 500 since the April 28, 2026 earnings date, rallying ~16% vs. XLU roughly flat and SPY +2.5%. The outperformance is driven primarily by multiple expansion (P/E expanded ~15% over 3 months, P/B +18%) as wildfire liability fears partially receded following SB 254 progress and the preferred stock redemption — not by earnings revisions, which have been flat.</w:t>
      </w:r>
    </w:p>
    <w:p>
      <w:r>
        <w:rPr>
          <w:rFonts w:ascii="Calibri" w:hAnsi="Calibri"/>
          <w:b/>
          <w:color w:val="525866"/>
          <w:sz w:val="22"/>
        </w:rPr>
        <w:t>Stock Performance Summary (April 28 — July 29,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Security</w:t>
            </w:r>
          </w:p>
        </w:tc>
        <w:tc>
          <w:tcPr>
            <w:tcW w:type="dxa" w:w="1728"/>
            <w:shd w:val="clear" w:color="auto" w:fill="3B4259"/>
          </w:tcPr>
          <w:p>
            <w:r>
              <w:rPr>
                <w:rFonts w:ascii="Calibri" w:hAnsi="Calibri"/>
                <w:b/>
                <w:color w:val="FFFFFF"/>
                <w:sz w:val="22"/>
              </w:rPr>
              <w:t>Price at Apr 28, 2026</w:t>
            </w:r>
          </w:p>
        </w:tc>
        <w:tc>
          <w:tcPr>
            <w:tcW w:type="dxa" w:w="1728"/>
            <w:shd w:val="clear" w:color="auto" w:fill="3B4259"/>
          </w:tcPr>
          <w:p>
            <w:r>
              <w:rPr>
                <w:rFonts w:ascii="Calibri" w:hAnsi="Calibri"/>
                <w:b/>
                <w:color w:val="FFFFFF"/>
                <w:sz w:val="22"/>
              </w:rPr>
              <w:t>Price at Jul 28, 2026</w:t>
            </w:r>
          </w:p>
        </w:tc>
        <w:tc>
          <w:tcPr>
            <w:tcW w:type="dxa" w:w="1728"/>
            <w:shd w:val="clear" w:color="auto" w:fill="3B4259"/>
          </w:tcPr>
          <w:p>
            <w:r>
              <w:rPr>
                <w:rFonts w:ascii="Calibri" w:hAnsi="Calibri"/>
                <w:b/>
                <w:color w:val="FFFFFF"/>
                <w:sz w:val="22"/>
              </w:rPr>
              <w:t>Return (Indexed)</w:t>
            </w:r>
          </w:p>
        </w:tc>
        <w:tc>
          <w:tcPr>
            <w:tcW w:type="dxa" w:w="1728"/>
            <w:shd w:val="clear" w:color="auto" w:fill="3B4259"/>
          </w:tcPr>
          <w:p>
            <w:r>
              <w:rPr>
                <w:rFonts w:ascii="Calibri" w:hAnsi="Calibri"/>
                <w:b/>
                <w:color w:val="FFFFFF"/>
                <w:sz w:val="22"/>
              </w:rPr>
              <w:t>Notes</w:t>
            </w:r>
          </w:p>
        </w:tc>
      </w:tr>
      <w:tr>
        <w:tc>
          <w:tcPr>
            <w:tcW w:type="dxa" w:w="1728"/>
          </w:tcPr>
          <w:p>
            <w:r>
              <w:rPr>
                <w:rFonts w:ascii="Calibri" w:hAnsi="Calibri"/>
                <w:sz w:val="22"/>
              </w:rPr>
              <w:t>EIX</w:t>
            </w:r>
          </w:p>
        </w:tc>
        <w:tc>
          <w:tcPr>
            <w:tcW w:type="dxa" w:w="1728"/>
          </w:tcPr>
          <w:p>
            <w:r>
              <w:rPr>
                <w:rFonts w:ascii="Calibri" w:hAnsi="Calibri"/>
                <w:sz w:val="22"/>
              </w:rPr>
              <w:t>$67.94</w:t>
            </w:r>
          </w:p>
        </w:tc>
        <w:tc>
          <w:tcPr>
            <w:tcW w:type="dxa" w:w="1728"/>
          </w:tcPr>
          <w:p>
            <w:r>
              <w:rPr>
                <w:rFonts w:ascii="Calibri" w:hAnsi="Calibri"/>
                <w:sz w:val="22"/>
              </w:rPr>
              <w:t>$79.79</w:t>
            </w:r>
          </w:p>
        </w:tc>
        <w:tc>
          <w:tcPr>
            <w:tcW w:type="dxa" w:w="1728"/>
          </w:tcPr>
          <w:p>
            <w:r>
              <w:rPr>
                <w:rFonts w:ascii="Calibri" w:hAnsi="Calibri"/>
                <w:b/>
                <w:color w:val="30A46C"/>
                <w:sz w:val="22"/>
              </w:rPr>
              <w:t>+17.4%</w:t>
            </w:r>
          </w:p>
        </w:tc>
        <w:tc>
          <w:tcPr>
            <w:tcW w:type="dxa" w:w="1728"/>
          </w:tcPr>
          <w:p>
            <w:r>
              <w:rPr>
                <w:rFonts w:ascii="Calibri" w:hAnsi="Calibri"/>
                <w:sz w:val="22"/>
              </w:rPr>
              <w:t>Significant outperformance; multiple expansion driven</w:t>
            </w:r>
          </w:p>
        </w:tc>
      </w:tr>
      <w:tr>
        <w:tc>
          <w:tcPr>
            <w:tcW w:type="dxa" w:w="1728"/>
          </w:tcPr>
          <w:p>
            <w:r>
              <w:rPr>
                <w:rFonts w:ascii="Calibri" w:hAnsi="Calibri"/>
                <w:sz w:val="22"/>
              </w:rPr>
              <w:t>XLU (Utilities ETF)</w:t>
            </w:r>
          </w:p>
        </w:tc>
        <w:tc>
          <w:tcPr>
            <w:tcW w:type="dxa" w:w="1728"/>
          </w:tcPr>
          <w:p>
            <w:r>
              <w:rPr>
                <w:rFonts w:ascii="Calibri" w:hAnsi="Calibri"/>
                <w:sz w:val="22"/>
              </w:rPr>
              <w:t>$46.25</w:t>
            </w:r>
          </w:p>
        </w:tc>
        <w:tc>
          <w:tcPr>
            <w:tcW w:type="dxa" w:w="1728"/>
          </w:tcPr>
          <w:p>
            <w:r>
              <w:rPr>
                <w:rFonts w:ascii="Calibri" w:hAnsi="Calibri"/>
                <w:sz w:val="22"/>
              </w:rPr>
              <w:t>$45.52</w:t>
            </w:r>
          </w:p>
        </w:tc>
        <w:tc>
          <w:tcPr>
            <w:tcW w:type="dxa" w:w="1728"/>
          </w:tcPr>
          <w:p>
            <w:r>
              <w:rPr>
                <w:rFonts w:ascii="Calibri" w:hAnsi="Calibri"/>
                <w:sz w:val="22"/>
              </w:rPr>
              <w:t>−1.6%</w:t>
            </w:r>
          </w:p>
        </w:tc>
        <w:tc>
          <w:tcPr>
            <w:tcW w:type="dxa" w:w="1728"/>
          </w:tcPr>
          <w:p>
            <w:r>
              <w:rPr>
                <w:rFonts w:ascii="Calibri" w:hAnsi="Calibri"/>
                <w:sz w:val="22"/>
              </w:rPr>
              <w:t>Sector underperformed; rate sensitivity headwind</w:t>
            </w:r>
          </w:p>
        </w:tc>
      </w:tr>
      <w:tr>
        <w:tc>
          <w:tcPr>
            <w:tcW w:type="dxa" w:w="1728"/>
          </w:tcPr>
          <w:p>
            <w:r>
              <w:rPr>
                <w:rFonts w:ascii="Calibri" w:hAnsi="Calibri"/>
                <w:sz w:val="22"/>
              </w:rPr>
              <w:t>SPY (S&amp;P 500)</w:t>
            </w:r>
          </w:p>
        </w:tc>
        <w:tc>
          <w:tcPr>
            <w:tcW w:type="dxa" w:w="1728"/>
          </w:tcPr>
          <w:p>
            <w:r>
              <w:rPr>
                <w:rFonts w:ascii="Calibri" w:hAnsi="Calibri"/>
                <w:sz w:val="22"/>
              </w:rPr>
              <w:t>$711.69</w:t>
            </w:r>
          </w:p>
        </w:tc>
        <w:tc>
          <w:tcPr>
            <w:tcW w:type="dxa" w:w="1728"/>
          </w:tcPr>
          <w:p>
            <w:r>
              <w:rPr>
                <w:rFonts w:ascii="Calibri" w:hAnsi="Calibri"/>
                <w:sz w:val="22"/>
              </w:rPr>
              <w:t>$740.86</w:t>
            </w:r>
          </w:p>
        </w:tc>
        <w:tc>
          <w:tcPr>
            <w:tcW w:type="dxa" w:w="1728"/>
          </w:tcPr>
          <w:p>
            <w:r>
              <w:rPr>
                <w:rFonts w:ascii="Calibri" w:hAnsi="Calibri"/>
                <w:sz w:val="22"/>
              </w:rPr>
              <w:t>+4.1%</w:t>
            </w:r>
          </w:p>
        </w:tc>
        <w:tc>
          <w:tcPr>
            <w:tcW w:type="dxa" w:w="1728"/>
          </w:tcPr>
          <w:p>
            <w:r>
              <w:rPr>
                <w:rFonts w:ascii="Calibri" w:hAnsi="Calibri"/>
                <w:sz w:val="22"/>
              </w:rPr>
              <w:t>Broad market positive; EIX outperformed by ~1,300 bps</w:t>
            </w:r>
          </w:p>
        </w:tc>
      </w:tr>
    </w:tbl>
    <w:p>
      <w:r>
        <w:rPr>
          <w:rFonts w:ascii="Calibri" w:hAnsi="Calibri"/>
          <w:b/>
          <w:color w:val="525866"/>
          <w:sz w:val="22"/>
        </w:rPr>
        <w:t>Key Events Since April 28, 2026 Earnings:</w:t>
      </w:r>
    </w:p>
    <w:p>
      <w:pPr>
        <w:pStyle w:val="ListBullet"/>
        <w:ind w:left="360" w:hanging="360"/>
      </w:pPr>
      <w:r>
        <w:rPr>
          <w:rFonts w:ascii="Calibri" w:hAnsi="Calibri"/>
          <w:b/>
          <w:color w:val="525866"/>
          <w:sz w:val="22"/>
        </w:rPr>
        <w:t xml:space="preserve">May 5, 2026: </w:t>
      </w:r>
      <w:r>
        <w:rPr>
          <w:rFonts w:ascii="Calibri" w:hAnsi="Calibri"/>
          <w:color w:val="525866"/>
          <w:sz w:val="22"/>
        </w:rPr>
        <w:t>EIX issued $500M in 5.00% Senior Notes due 2028 (8-K) — consistent with financing plan, no guidance change.</w:t>
      </w:r>
    </w:p>
    <w:p>
      <w:pPr>
        <w:pStyle w:val="ListBullet"/>
        <w:ind w:left="360" w:hanging="360"/>
      </w:pPr>
      <w:r>
        <w:rPr>
          <w:rFonts w:ascii="Calibri" w:hAnsi="Calibri"/>
          <w:b/>
          <w:color w:val="525866"/>
          <w:sz w:val="22"/>
        </w:rPr>
        <w:t xml:space="preserve">July 3, 2026: </w:t>
      </w:r>
      <w:r>
        <w:rPr>
          <w:rFonts w:ascii="Calibri" w:hAnsi="Calibri"/>
          <w:color w:val="525866"/>
          <w:sz w:val="22"/>
        </w:rPr>
        <w:t>Aaron Moss assumed CFO role from Maria Rigatti (transition announced on Q1 call).</w:t>
      </w:r>
    </w:p>
    <w:p>
      <w:pPr>
        <w:pStyle w:val="ListBullet"/>
        <w:ind w:left="360" w:hanging="360"/>
      </w:pPr>
      <w:r>
        <w:rPr>
          <w:rFonts w:ascii="Calibri" w:hAnsi="Calibri"/>
          <w:b/>
          <w:color w:val="525866"/>
          <w:sz w:val="22"/>
        </w:rPr>
        <w:t xml:space="preserve">July 22, 2026: </w:t>
      </w:r>
      <w:r>
        <w:rPr>
          <w:rFonts w:ascii="Calibri" w:hAnsi="Calibri"/>
          <w:color w:val="525866"/>
          <w:sz w:val="22"/>
        </w:rPr>
        <w:t>EIX stock reached ~$80.38 intraday high, driven by broader utility sector sentiment and PCG Q2 beat read-through.</w:t>
      </w:r>
    </w:p>
    <w:p>
      <w:pPr>
        <w:pStyle w:val="ListBullet"/>
        <w:ind w:left="360" w:hanging="360"/>
      </w:pPr>
      <w:r>
        <w:rPr>
          <w:rFonts w:ascii="Calibri" w:hAnsi="Calibri"/>
          <w:b/>
          <w:color w:val="525866"/>
          <w:sz w:val="22"/>
        </w:rPr>
        <w:t xml:space="preserve">July 30, 2026: </w:t>
      </w:r>
      <w:r>
        <w:rPr>
          <w:rFonts w:ascii="Calibri" w:hAnsi="Calibri"/>
          <w:color w:val="525866"/>
          <w:sz w:val="22"/>
        </w:rPr>
        <w:t>Q2 2026 earnings call scheduled at 4:30 PM ET.</w:t>
      </w:r>
    </w:p>
    <w:p>
      <w:r>
        <w:rPr>
          <w:rFonts w:ascii="Calibri" w:hAnsi="Calibri"/>
          <w:b/>
          <w:color w:val="525866"/>
          <w:sz w:val="22"/>
        </w:rPr>
        <w:t xml:space="preserve">Performance Decomposition: </w:t>
      </w:r>
      <w:r>
        <w:rPr>
          <w:rFonts w:ascii="Calibri" w:hAnsi="Calibri"/>
          <w:color w:val="525866"/>
          <w:sz w:val="22"/>
        </w:rPr>
        <w:t>Over the 3-month period, EIX's P/E expanded ~15% and P/B expanded ~18%, while EV/EBITDA contracted ~6% — suggesting the rally was driven by sentiment re-rating (wildfire liability de-risking, SB 254 progress) rather than earnings estimate upgrades. This makes the stock more vulnerable to disappointment on the wildfire liability narrative than on the reported EPS number itself.</w:t>
      </w:r>
    </w:p>
    <w:p>
      <w:r>
        <w:rPr>
          <w:rFonts w:ascii="Calibri" w:hAnsi="Calibri"/>
          <w:i/>
          <w:color w:val="525866"/>
          <w:sz w:val="22"/>
        </w:rPr>
        <w:t>Source: Stock Price Data (Yahoo Finance). Sector ETF: XLU (Utilities Select Sector SPDR Fund) — appropriate for EIX's regulated electric utility sub-sector.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intensifying urgency around SB 254 wildfire liability legislation — the California legislative session ends August 31, and management has framed passage as existential for the sector's credit profile. PCG's Q2 beat (July 22) is the most relevant peer read-through, confirming that GRC-driven rate recovery and data center load growth are real tailwinds for California utilities.</w:t>
      </w:r>
    </w:p>
    <w:p>
      <w:pPr>
        <w:pStyle w:val="ListBullet"/>
        <w:ind w:left="360" w:hanging="360"/>
      </w:pPr>
      <w:r>
        <w:rPr>
          <w:rFonts w:ascii="Calibri" w:hAnsi="Calibri"/>
          <w:b/>
          <w:color w:val="525866"/>
          <w:sz w:val="22"/>
        </w:rPr>
        <w:t xml:space="preserve">July 22, 2026 — PCG Q2 2026 Beat (Peer Read-Through): </w:t>
      </w:r>
      <w:r>
        <w:rPr>
          <w:rFonts w:ascii="Calibri" w:hAnsi="Calibri"/>
          <w:color w:val="525866"/>
          <w:sz w:val="22"/>
        </w:rPr>
        <w:t xml:space="preserve">PG&amp;E reported Q2 adjusted EPS of $0.40 vs. $0.36 consensus (+11% beat), driven by higher rates from GRC decision and surging AI data center demand. PCG's data center pipeline grew to over 12 GW (from 10 GW last quarter). </w:t>
      </w:r>
      <w:r>
        <w:rPr>
          <w:rFonts w:ascii="Calibri" w:hAnsi="Calibri"/>
          <w:b/>
          <w:color w:val="30A46C"/>
          <w:sz w:val="22"/>
        </w:rPr>
        <w:t>Positive read-through for EIX</w:t>
      </w:r>
      <w:r>
        <w:rPr>
          <w:rFonts w:ascii="Calibri" w:hAnsi="Calibri"/>
          <w:color w:val="525866"/>
          <w:sz w:val="22"/>
        </w:rPr>
        <w:t>: confirms GRC rate recovery is flowing through as expected and that California utility fundamentals are intact.</w:t>
      </w:r>
    </w:p>
    <w:p>
      <w:pPr>
        <w:pStyle w:val="ListBullet"/>
        <w:ind w:left="360" w:hanging="360"/>
      </w:pPr>
      <w:r>
        <w:rPr>
          <w:rFonts w:ascii="Calibri" w:hAnsi="Calibri"/>
          <w:b/>
          <w:color w:val="525866"/>
          <w:sz w:val="22"/>
        </w:rPr>
        <w:t xml:space="preserve">July 28–29, 2026 — DTE, ETR, WEC, CMS, CNP Q2 Earnings (Peer Read-Through): </w:t>
      </w:r>
      <w:r>
        <w:rPr>
          <w:rFonts w:ascii="Calibri" w:hAnsi="Calibri"/>
          <w:color w:val="525866"/>
          <w:sz w:val="22"/>
        </w:rPr>
        <w:t xml:space="preserve">Multiple utility peers reported Q2 results. DTE guided to high end of 2026 EPS range; ETR affirmed guidance and highlighted 10% industrial sales growth and 7–12 GW data center pipeline. CMS narrowly beat Q2 but 2027 guidance midpoint came in below consensus. </w:t>
      </w:r>
      <w:r>
        <w:rPr>
          <w:rFonts w:ascii="Calibri" w:hAnsi="Calibri"/>
          <w:b/>
          <w:color w:val="002FA7"/>
          <w:sz w:val="22"/>
        </w:rPr>
        <w:t>Mixed read-through for EIX</w:t>
      </w:r>
      <w:r>
        <w:rPr>
          <w:rFonts w:ascii="Calibri" w:hAnsi="Calibri"/>
          <w:color w:val="525866"/>
          <w:sz w:val="22"/>
        </w:rPr>
        <w:t>: strong load growth and data center demand are sector-wide positives, but weather headwinds (DTE cited colder Q2 weather) and O&amp;M pressure are risks.</w:t>
      </w:r>
    </w:p>
    <w:p>
      <w:pPr>
        <w:pStyle w:val="ListBullet"/>
        <w:ind w:left="360" w:hanging="360"/>
      </w:pPr>
      <w:r>
        <w:rPr>
          <w:rFonts w:ascii="Calibri" w:hAnsi="Calibri"/>
          <w:b/>
          <w:color w:val="525866"/>
          <w:sz w:val="22"/>
        </w:rPr>
        <w:t xml:space="preserve">July 29, 2026 — NEE $100B Data Center Campus Announcement: </w:t>
      </w:r>
      <w:r>
        <w:rPr>
          <w:rFonts w:ascii="Calibri" w:hAnsi="Calibri"/>
          <w:color w:val="525866"/>
          <w:sz w:val="22"/>
        </w:rPr>
        <w:t xml:space="preserve">NextEra Energy and Brookfield announced a $100B data center campus in Kentucky (1.2+ GW compute, 1.8 GW grid supply). </w:t>
      </w:r>
      <w:r>
        <w:rPr>
          <w:rFonts w:ascii="Calibri" w:hAnsi="Calibri"/>
          <w:b/>
          <w:color w:val="30A46C"/>
          <w:sz w:val="22"/>
        </w:rPr>
        <w:t>Positive read-through for EIX</w:t>
      </w:r>
      <w:r>
        <w:rPr>
          <w:rFonts w:ascii="Calibri" w:hAnsi="Calibri"/>
          <w:color w:val="525866"/>
          <w:sz w:val="22"/>
        </w:rPr>
        <w:t>: reinforces the secular utility investment thesis and load growth narrative that underpins EIX's $38–41B capex plan.</w:t>
      </w:r>
    </w:p>
    <w:p>
      <w:pPr>
        <w:pStyle w:val="ListBullet"/>
        <w:ind w:left="360" w:hanging="360"/>
      </w:pPr>
      <w:r>
        <w:rPr>
          <w:rFonts w:ascii="Calibri" w:hAnsi="Calibri"/>
          <w:b/>
          <w:color w:val="525866"/>
          <w:sz w:val="22"/>
        </w:rPr>
        <w:t xml:space="preserve">July 23, 2026 — Trump AI/Data Center Pledge Expansion: </w:t>
      </w:r>
      <w:r>
        <w:rPr>
          <w:rFonts w:ascii="Calibri" w:hAnsi="Calibri"/>
          <w:color w:val="525866"/>
          <w:sz w:val="22"/>
        </w:rPr>
        <w:t xml:space="preserve">President Trump expanded a voluntary pledge with governors and utilities to shield consumers from higher bills from data center buildouts. Nearly 200 entities signed, including major utilities. </w:t>
      </w:r>
      <w:r>
        <w:rPr>
          <w:rFonts w:ascii="Calibri" w:hAnsi="Calibri"/>
          <w:b/>
          <w:color w:val="002FA7"/>
          <w:sz w:val="22"/>
        </w:rPr>
        <w:t>Mixed read-through for EIX</w:t>
      </w:r>
      <w:r>
        <w:rPr>
          <w:rFonts w:ascii="Calibri" w:hAnsi="Calibri"/>
          <w:color w:val="525866"/>
          <w:sz w:val="22"/>
        </w:rPr>
        <w:t>: positive for political optics and affordability narrative (EIX has committed to rate increases at or below inflation through 2030), but enforcement mechanism is unclear.</w:t>
      </w:r>
    </w:p>
    <w:p>
      <w:pPr>
        <w:pStyle w:val="ListBullet"/>
        <w:ind w:left="360" w:hanging="360"/>
      </w:pPr>
      <w:r>
        <w:rPr>
          <w:rFonts w:ascii="Calibri" w:hAnsi="Calibri"/>
          <w:b/>
          <w:color w:val="525866"/>
          <w:sz w:val="22"/>
        </w:rPr>
        <w:t xml:space="preserve">July 22, 2026 — PJM Grid Disturbance (Data Center Risk): </w:t>
      </w:r>
      <w:r>
        <w:rPr>
          <w:rFonts w:ascii="Calibri" w:hAnsi="Calibri"/>
          <w:color w:val="525866"/>
          <w:sz w:val="22"/>
        </w:rPr>
        <w:t xml:space="preserve">A massive power disconnect affected the PJM grid when 3+ GW of data center load went offline simultaneously, taking 10+ minutes to stabilize. </w:t>
      </w:r>
      <w:r>
        <w:rPr>
          <w:rFonts w:ascii="Calibri" w:hAnsi="Calibri"/>
          <w:b/>
          <w:color w:val="E5484D"/>
          <w:sz w:val="22"/>
        </w:rPr>
        <w:t>Neutral/negative read-through for EIX</w:t>
      </w:r>
      <w:r>
        <w:rPr>
          <w:rFonts w:ascii="Calibri" w:hAnsi="Calibri"/>
          <w:color w:val="525866"/>
          <w:sz w:val="22"/>
        </w:rPr>
        <w:t>: highlights grid stability risks from large load concentration, though SCE's service territory is CAISO-operated and not directly affected.</w:t>
      </w:r>
    </w:p>
    <w:p>
      <w:pPr>
        <w:pStyle w:val="ListBullet"/>
        <w:ind w:left="360" w:hanging="360"/>
      </w:pPr>
      <w:r>
        <w:rPr>
          <w:rFonts w:ascii="Calibri" w:hAnsi="Calibri"/>
          <w:b/>
          <w:color w:val="525866"/>
          <w:sz w:val="22"/>
        </w:rPr>
        <w:t xml:space="preserve">July 20, 2026 — Duke Energy Rate Settlement (Regulatory Read-Through): </w:t>
      </w:r>
      <w:r>
        <w:rPr>
          <w:rFonts w:ascii="Calibri" w:hAnsi="Calibri"/>
          <w:color w:val="525866"/>
          <w:sz w:val="22"/>
        </w:rPr>
        <w:t xml:space="preserve">Duke Energy Carolinas reached a settlement cutting its proposed rate increase from ~18% to ~9.5% following public pushback. </w:t>
      </w:r>
      <w:r>
        <w:rPr>
          <w:rFonts w:ascii="Calibri" w:hAnsi="Calibri"/>
          <w:b/>
          <w:color w:val="002FA7"/>
          <w:sz w:val="22"/>
        </w:rPr>
        <w:t>Mixed read-through for EIX</w:t>
      </w:r>
      <w:r>
        <w:rPr>
          <w:rFonts w:ascii="Calibri" w:hAnsi="Calibri"/>
          <w:color w:val="525866"/>
          <w:sz w:val="22"/>
        </w:rPr>
        <w:t>: illustrates that affordability pressure is a real regulatory constraint, consistent with EIX's own commitment to rate increases at or below inflation through 2030.</w:t>
      </w:r>
    </w:p>
    <w:p>
      <w:pPr>
        <w:pStyle w:val="ListBullet"/>
        <w:ind w:left="360" w:hanging="360"/>
      </w:pPr>
      <w:r>
        <w:rPr>
          <w:rFonts w:ascii="Calibri" w:hAnsi="Calibri"/>
          <w:b/>
          <w:color w:val="525866"/>
          <w:sz w:val="22"/>
        </w:rPr>
        <w:t xml:space="preserve">July 15, 2026 — California Wildfire/PSPS Risk: </w:t>
      </w:r>
      <w:r>
        <w:rPr>
          <w:rFonts w:ascii="Calibri" w:hAnsi="Calibri"/>
          <w:color w:val="525866"/>
          <w:sz w:val="22"/>
        </w:rPr>
        <w:t xml:space="preserve">PG&amp;E warned of potential power shutoffs for 10 California counties amid extreme heat and wildfire risk. </w:t>
      </w:r>
      <w:r>
        <w:rPr>
          <w:rFonts w:ascii="Calibri" w:hAnsi="Calibri"/>
          <w:b/>
          <w:color w:val="002FA7"/>
          <w:sz w:val="22"/>
        </w:rPr>
        <w:t>Neutral read-through for EIX</w:t>
      </w:r>
      <w:r>
        <w:rPr>
          <w:rFonts w:ascii="Calibri" w:hAnsi="Calibri"/>
          <w:color w:val="525866"/>
          <w:sz w:val="22"/>
        </w:rPr>
        <w:t>: highlights ongoing wildfire season risk in California, though SCE's distribution hardening is ~93% complete and PSPS protocols have been enhanced.</w:t>
      </w:r>
    </w:p>
    <w:p>
      <w:pPr>
        <w:pStyle w:val="ListBullet"/>
        <w:ind w:left="360" w:hanging="360"/>
      </w:pPr>
      <w:r>
        <w:rPr>
          <w:rFonts w:ascii="Calibri" w:hAnsi="Calibri"/>
          <w:b/>
          <w:color w:val="525866"/>
          <w:sz w:val="22"/>
        </w:rPr>
        <w:t xml:space="preserve">May 5, 2026 — EIX $500M Senior Notes Issuance (8-K): </w:t>
      </w:r>
      <w:r>
        <w:rPr>
          <w:rFonts w:ascii="Calibri" w:hAnsi="Calibri"/>
          <w:color w:val="525866"/>
          <w:sz w:val="22"/>
        </w:rPr>
        <w:t>EIX issued $500M in 5.00% Senior Notes due 2028. Consistent with the stated financing plan ($9–12B incremental debt over 2026–2030). No guidance impact. Demonstrates continued capital markets access.</w:t>
      </w:r>
    </w:p>
    <w:p>
      <w:pPr>
        <w:pStyle w:val="ListBullet"/>
        <w:ind w:left="360" w:hanging="360"/>
      </w:pPr>
      <w:r>
        <w:rPr>
          <w:rFonts w:ascii="Calibri" w:hAnsi="Calibri"/>
          <w:b/>
          <w:color w:val="525866"/>
          <w:sz w:val="22"/>
        </w:rPr>
        <w:t xml:space="preserve">April 28, 2026 — Q1 2026 Earnings / CFO Transition Announced: </w:t>
      </w:r>
      <w:r>
        <w:rPr>
          <w:rFonts w:ascii="Calibri" w:hAnsi="Calibri"/>
          <w:color w:val="525866"/>
          <w:sz w:val="22"/>
        </w:rPr>
        <w:t>Q1 Core EPS of $1.42 beat consensus of $1.13 by 26%. Maria Rigatti announced retirement (effective September 1, 2026); Aaron Moss named incoming CFO (effective July 3, 2026). All FY 2026 and long-term guidance reaffirmed. Management cited 'cleaner regulatory slate' and urgency on SB 254 legislation.</w:t>
      </w:r>
    </w:p>
    <w:p>
      <w:pPr>
        <w:pStyle w:val="ListBullet"/>
        <w:ind w:left="360" w:hanging="360"/>
      </w:pPr>
      <w:r>
        <w:rPr>
          <w:rFonts w:ascii="Calibri" w:hAnsi="Calibri"/>
          <w:b/>
          <w:color w:val="525866"/>
          <w:sz w:val="22"/>
        </w:rPr>
        <w:t xml:space="preserve">Ongoing — SB 254 Wildfire Legislation (Critical Wildcard): </w:t>
      </w:r>
      <w:r>
        <w:rPr>
          <w:rFonts w:ascii="Calibri" w:hAnsi="Calibri"/>
          <w:color w:val="525866"/>
          <w:sz w:val="22"/>
        </w:rPr>
        <w:t xml:space="preserve">California legislative session ends August 31, 2026. Bills must be in print by August 28. Management has framed SB 254 Phase 2 passage as critical for sector credit ratings. PCG's Q2 call noted policymakers 'recognize the need for a durable solution' but inaction would 'slow progress.' </w:t>
      </w:r>
      <w:r>
        <w:rPr>
          <w:rFonts w:ascii="Calibri" w:hAnsi="Calibri"/>
          <w:b/>
          <w:color w:val="525866"/>
          <w:sz w:val="22"/>
        </w:rPr>
        <w:t>This is the single most important binary risk for EIX heading into Q2 earnings.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Only one insider transaction has been disclosed since the April 28, 2026 earnings date — a small, pre-planned 10b5-1 sale by a Director. The transaction is immaterial in size (500 shares, ~$38K) and is obligation-driven. The absence of any open-market buying or unusual selling activity is notable but not a strong signal in either direction.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Value (Est.)</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Taylor, Peter J.</w:t>
            </w:r>
          </w:p>
        </w:tc>
        <w:tc>
          <w:tcPr>
            <w:tcW w:type="dxa" w:w="1080"/>
          </w:tcPr>
          <w:p>
            <w:r>
              <w:rPr>
                <w:rFonts w:ascii="Calibri" w:hAnsi="Calibri"/>
                <w:sz w:val="22"/>
              </w:rPr>
              <w:t>Director</w:t>
            </w:r>
          </w:p>
        </w:tc>
        <w:tc>
          <w:tcPr>
            <w:tcW w:type="dxa" w:w="1080"/>
          </w:tcPr>
          <w:p>
            <w:r>
              <w:rPr>
                <w:rFonts w:ascii="Calibri" w:hAnsi="Calibri"/>
                <w:sz w:val="22"/>
              </w:rPr>
              <w:t>10b5-1 Planned Sale</w:t>
            </w:r>
          </w:p>
        </w:tc>
        <w:tc>
          <w:tcPr>
            <w:tcW w:type="dxa" w:w="1080"/>
          </w:tcPr>
          <w:p>
            <w:r>
              <w:rPr>
                <w:rFonts w:ascii="Calibri" w:hAnsi="Calibri"/>
                <w:sz w:val="22"/>
              </w:rPr>
              <w:t>500 shares</w:t>
            </w:r>
          </w:p>
        </w:tc>
        <w:tc>
          <w:tcPr>
            <w:tcW w:type="dxa" w:w="1080"/>
          </w:tcPr>
          <w:p>
            <w:r>
              <w:rPr>
                <w:rFonts w:ascii="Calibri" w:hAnsi="Calibri"/>
                <w:sz w:val="22"/>
              </w:rPr>
              <w:t>~$37,700</w:t>
            </w:r>
          </w:p>
        </w:tc>
        <w:tc>
          <w:tcPr>
            <w:tcW w:type="dxa" w:w="1080"/>
          </w:tcPr>
          <w:p>
            <w:r>
              <w:rPr>
                <w:rFonts w:ascii="Calibri" w:hAnsi="Calibri"/>
                <w:sz w:val="22"/>
              </w:rPr>
              <w:t>July 13, 2026</w:t>
            </w:r>
          </w:p>
        </w:tc>
        <w:tc>
          <w:tcPr>
            <w:tcW w:type="dxa" w:w="1080"/>
          </w:tcPr>
          <w:p>
            <w:r>
              <w:rPr>
                <w:rFonts w:ascii="Calibri" w:hAnsi="Calibri"/>
                <w:sz w:val="22"/>
              </w:rPr>
              <w:t>July 15, 2026</w:t>
            </w:r>
          </w:p>
        </w:tc>
        <w:tc>
          <w:tcPr>
            <w:tcW w:type="dxa" w:w="1080"/>
          </w:tcPr>
          <w:p>
            <w:r>
              <w:rPr>
                <w:rFonts w:ascii="Calibri" w:hAnsi="Calibri"/>
                <w:sz w:val="22"/>
              </w:rPr>
              <w:t>Pre-planned 10b5-1 sale; ~1% of holdings; routine/obligation-driven; not a discretionary signal</w:t>
            </w:r>
          </w:p>
        </w:tc>
      </w:tr>
    </w:tbl>
    <w:p>
      <w:r>
        <w:rPr>
          <w:rFonts w:ascii="Calibri" w:hAnsi="Calibri"/>
          <w:b/>
          <w:color w:val="525866"/>
          <w:sz w:val="22"/>
        </w:rPr>
        <w:t xml:space="preserve">Assessment: </w:t>
      </w:r>
      <w:r>
        <w:rPr>
          <w:rFonts w:ascii="Calibri" w:hAnsi="Calibri"/>
          <w:color w:val="525866"/>
          <w:sz w:val="22"/>
        </w:rPr>
        <w:t>The sole insider transaction since Q1 earnings is a small, pre-planned 10b5-1 sale by a non-executive Director — this is routine and carries no informational content about management's view of the upcoming print. The absence of any open-market buying by executives ahead of earnings (despite the stock trading at a meaningful discount to historical utility multiples) is neutral. No Form 144 filings or unusual clustered selling has been observed.</w:t>
      </w:r>
    </w:p>
    <w:p>
      <w:r>
        <w:rPr>
          <w:rFonts w:ascii="Calibri" w:hAnsi="Calibri"/>
          <w:i/>
          <w:color w:val="525866"/>
          <w:sz w:val="22"/>
        </w:rPr>
        <w:t>Source: SEC Form 4 Filings Database (Insider Transaction Data).</w:t>
      </w:r>
    </w:p>
    <w:p>
      <w:r>
        <w:br w:type="page"/>
      </w:r>
    </w:p>
    <w:p>
      <w:pPr>
        <w:pStyle w:val="Heading2"/>
      </w:pPr>
      <w:r>
        <w:rPr>
          <w:rFonts w:ascii="Calibri" w:hAnsi="Calibri"/>
          <w:b/>
          <w:color w:val="3B4259"/>
          <w:sz w:val="28"/>
        </w:rPr>
        <w:t>8. Peer Commentaries &amp; Read-Throughs (Last 60 Days — Q2 2026 Reporting Cycle)</w:t>
      </w:r>
    </w:p>
    <w:p>
      <w:r>
        <w:rPr>
          <w:rFonts w:ascii="Calibri" w:hAnsi="Calibri"/>
          <w:b/>
          <w:color w:val="525866"/>
          <w:sz w:val="22"/>
        </w:rPr>
        <w:t xml:space="preserve">Key Takeaway: </w:t>
      </w:r>
      <w:r>
        <w:rPr>
          <w:rFonts w:ascii="Calibri" w:hAnsi="Calibri"/>
          <w:color w:val="525866"/>
          <w:sz w:val="22"/>
        </w:rPr>
        <w:t>Peer commentary from the Q2 2026 reporting cycle is broadly positive for EIX — PCG's strong Q2 beat confirms California utility GRC rate recovery is flowing through as expected, and sector-wide data center load growth commentary from ETR and DTE reinforces the long-term investment thesis. The primary mixed/negative read-through is weather headwinds (DTE cited colder Q2 weather impacting earnings) and affordability/regulatory pushback (Duke rate settlement, Trump pledge). SB 254 wildfire legislation remains the key binary risk flagged by PCG.</w:t>
      </w:r>
    </w:p>
    <w:p>
      <w:r>
        <w:rPr>
          <w:rFonts w:ascii="Calibri" w:hAnsi="Calibri"/>
          <w:i/>
          <w:color w:val="525866"/>
          <w:sz w:val="22"/>
        </w:rPr>
        <w:t xml:space="preserve">Scope: </w:t>
      </w:r>
      <w:r>
        <w:rPr>
          <w:rFonts w:ascii="Calibri" w:hAnsi="Calibri"/>
          <w:i/>
          <w:color w:val="525866"/>
          <w:sz w:val="22"/>
        </w:rPr>
        <w:t>Only commentary dated May 30 – July 29, 2026 that pertains to the Q2 2026 reporting period, forward outlook, or themes relevant to EIX's current quarter is included below. Retrospective commentary solely about prior-quarter results has been excluded.</w:t>
      </w:r>
    </w:p>
    <w:p>
      <w:pPr>
        <w:pStyle w:val="Heading3"/>
      </w:pPr>
      <w:r>
        <w:rPr>
          <w:rFonts w:ascii="Calibri" w:hAnsi="Calibri"/>
          <w:b/>
          <w:color w:val="3B4259"/>
          <w:sz w:val="24"/>
        </w:rPr>
        <w:t>8A. PG&amp;E (PCG) — Q2 2026 Earnings (July 22–23, 2026)</w:t>
      </w:r>
    </w:p>
    <w:p>
      <w:r>
        <w:rPr>
          <w:rFonts w:ascii="Calibri" w:hAnsi="Calibri"/>
          <w:b/>
          <w:color w:val="525866"/>
          <w:sz w:val="22"/>
        </w:rPr>
        <w:t xml:space="preserve">Overall Read-Through for EIX: </w:t>
      </w:r>
      <w:r>
        <w:rPr>
          <w:rFonts w:ascii="Calibri" w:hAnsi="Calibri"/>
          <w:b/>
          <w:color w:val="30A46C"/>
          <w:sz w:val="22"/>
        </w:rPr>
        <w:t>POSITIVE</w:t>
      </w:r>
    </w:p>
    <w:p>
      <w:r>
        <w:rPr>
          <w:rFonts w:ascii="Calibri" w:hAnsi="Calibri"/>
          <w:color w:val="525866"/>
          <w:sz w:val="22"/>
        </w:rPr>
        <w:t>PCG reported Q2 2026 adjusted EPS of $0.40 vs. $0.36 consensus (+11% beat), driven by higher customer rates following the GRC decision and surging AI data center demand. This is the most directly comparable peer to EIX as both are California IOUs operating under the same regulatory framework (CPUC), Wildfire Fund, and SB 254 legislative environment.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PCG Commentary</w:t>
            </w:r>
          </w:p>
        </w:tc>
        <w:tc>
          <w:tcPr>
            <w:tcW w:type="dxa" w:w="2160"/>
            <w:shd w:val="clear" w:color="auto" w:fill="3B4259"/>
          </w:tcPr>
          <w:p>
            <w:r>
              <w:rPr>
                <w:rFonts w:ascii="Calibri" w:hAnsi="Calibri"/>
                <w:b/>
                <w:color w:val="FFFFFF"/>
                <w:sz w:val="22"/>
              </w:rPr>
              <w:t>Read-Through for EIX</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GRC Rate Recovery</w:t>
            </w:r>
          </w:p>
        </w:tc>
        <w:tc>
          <w:tcPr>
            <w:tcW w:type="dxa" w:w="2160"/>
          </w:tcPr>
          <w:p>
            <w:r>
              <w:rPr>
                <w:rFonts w:ascii="Calibri" w:hAnsi="Calibri"/>
                <w:sz w:val="22"/>
              </w:rPr>
              <w:t>Q2 beat driven by 'higher rates following a favorable decision in a rate case proceeding.' If fully implemented, rates would be 'flat from 2025 to 2027.'</w:t>
            </w:r>
          </w:p>
        </w:tc>
        <w:tc>
          <w:tcPr>
            <w:tcW w:type="dxa" w:w="2160"/>
          </w:tcPr>
          <w:p>
            <w:r>
              <w:rPr>
                <w:rFonts w:ascii="Calibri" w:hAnsi="Calibri"/>
                <w:sz w:val="22"/>
              </w:rPr>
              <w:t>EIX's 2025 GRC final decision was adopted in Q3 2025 and is the primary driver of YoY Core EPS growth in 2026. PCG's experience confirms GRC rate recovery is flowing through as expected.</w:t>
            </w:r>
          </w:p>
        </w:tc>
        <w:tc>
          <w:tcPr>
            <w:tcW w:type="dxa" w:w="2160"/>
          </w:tcPr>
          <w:p>
            <w:r>
              <w:rPr>
                <w:rFonts w:ascii="Calibri" w:hAnsi="Calibri"/>
                <w:b/>
                <w:color w:val="30A46C"/>
                <w:sz w:val="22"/>
              </w:rPr>
              <w:t>POSITIVE</w:t>
            </w:r>
          </w:p>
        </w:tc>
      </w:tr>
      <w:tr>
        <w:tc>
          <w:tcPr>
            <w:tcW w:type="dxa" w:w="2160"/>
          </w:tcPr>
          <w:p>
            <w:r>
              <w:rPr>
                <w:rFonts w:ascii="Calibri" w:hAnsi="Calibri"/>
                <w:sz w:val="22"/>
              </w:rPr>
              <w:t>Data Center Load Growth</w:t>
            </w:r>
          </w:p>
        </w:tc>
        <w:tc>
          <w:tcPr>
            <w:tcW w:type="dxa" w:w="2160"/>
          </w:tcPr>
          <w:p>
            <w:r>
              <w:rPr>
                <w:rFonts w:ascii="Calibri" w:hAnsi="Calibri"/>
                <w:sz w:val="22"/>
              </w:rPr>
              <w:t>Data center pipeline grew to 'over 12 GW' (from 10 GW last quarter). Expects ~1.8 GW online by 2030. Focused on 'pricing this load correctly, attractive to data center customers but still rate reducing for our other customers.'</w:t>
            </w:r>
          </w:p>
        </w:tc>
        <w:tc>
          <w:tcPr>
            <w:tcW w:type="dxa" w:w="2160"/>
          </w:tcPr>
          <w:p>
            <w:r>
              <w:rPr>
                <w:rFonts w:ascii="Calibri" w:hAnsi="Calibri"/>
                <w:sz w:val="22"/>
              </w:rPr>
              <w:t>EIX's service territory (Southern California) is also seeing electrification-driven load growth. PCG's pipeline growth validates the secular demand thesis underpinning EIX's $38–41B capex plan and ~7% rate base CAGR.</w:t>
            </w:r>
          </w:p>
        </w:tc>
        <w:tc>
          <w:tcPr>
            <w:tcW w:type="dxa" w:w="2160"/>
          </w:tcPr>
          <w:p>
            <w:r>
              <w:rPr>
                <w:rFonts w:ascii="Calibri" w:hAnsi="Calibri"/>
                <w:b/>
                <w:color w:val="30A46C"/>
                <w:sz w:val="22"/>
              </w:rPr>
              <w:t>POSITIVE</w:t>
            </w:r>
          </w:p>
        </w:tc>
      </w:tr>
      <w:tr>
        <w:tc>
          <w:tcPr>
            <w:tcW w:type="dxa" w:w="2160"/>
          </w:tcPr>
          <w:p>
            <w:r>
              <w:rPr>
                <w:rFonts w:ascii="Calibri" w:hAnsi="Calibri"/>
                <w:sz w:val="22"/>
              </w:rPr>
              <w:t>Wildfire Safety Performance</w:t>
            </w:r>
          </w:p>
        </w:tc>
        <w:tc>
          <w:tcPr>
            <w:tcW w:type="dxa" w:w="2160"/>
          </w:tcPr>
          <w:p>
            <w:r>
              <w:rPr>
                <w:rFonts w:ascii="Calibri" w:hAnsi="Calibri"/>
                <w:sz w:val="22"/>
              </w:rPr>
              <w:t>'Fourth year of no major fires linked to PGE equipment and no structures destroyed.' Continuous monitoring avoided '28 ignitions in high fire risk areas' since January 2025.</w:t>
            </w:r>
          </w:p>
        </w:tc>
        <w:tc>
          <w:tcPr>
            <w:tcW w:type="dxa" w:w="2160"/>
          </w:tcPr>
          <w:p>
            <w:r>
              <w:rPr>
                <w:rFonts w:ascii="Calibri" w:hAnsi="Calibri"/>
                <w:sz w:val="22"/>
              </w:rPr>
              <w:t>EIX's distribution hardening is ~93% complete. PCG's track record demonstrates that sustained wildfire mitigation investment reduces ignition risk — supportive of EIX's prudency argument for Wildfire Fund access.</w:t>
            </w:r>
          </w:p>
        </w:tc>
        <w:tc>
          <w:tcPr>
            <w:tcW w:type="dxa" w:w="2160"/>
          </w:tcPr>
          <w:p>
            <w:r>
              <w:rPr>
                <w:rFonts w:ascii="Calibri" w:hAnsi="Calibri"/>
                <w:b/>
                <w:color w:val="30A46C"/>
                <w:sz w:val="22"/>
              </w:rPr>
              <w:t>POSITIVE</w:t>
            </w:r>
          </w:p>
        </w:tc>
      </w:tr>
      <w:tr>
        <w:tc>
          <w:tcPr>
            <w:tcW w:type="dxa" w:w="2160"/>
          </w:tcPr>
          <w:p>
            <w:r>
              <w:rPr>
                <w:rFonts w:ascii="Calibri" w:hAnsi="Calibri"/>
                <w:sz w:val="22"/>
              </w:rPr>
              <w:t>SB 254 / Wildfire Liability Reform</w:t>
            </w:r>
          </w:p>
        </w:tc>
        <w:tc>
          <w:tcPr>
            <w:tcW w:type="dxa" w:w="2160"/>
          </w:tcPr>
          <w:p>
            <w:r>
              <w:rPr>
                <w:rFonts w:ascii="Calibri" w:hAnsi="Calibri"/>
                <w:sz w:val="22"/>
              </w:rPr>
              <w:t>'Encouraged that California's leading policy makers have made it clear they recognize the need for a durable solution.' Inaction would 'slow that progress and ultimately make the system more expensive to finance.' Five-year plan assumes California will follow through on SB 254.</w:t>
            </w:r>
          </w:p>
        </w:tc>
        <w:tc>
          <w:tcPr>
            <w:tcW w:type="dxa" w:w="2160"/>
          </w:tcPr>
          <w:p>
            <w:r>
              <w:rPr>
                <w:rFonts w:ascii="Calibri" w:hAnsi="Calibri"/>
                <w:sz w:val="22"/>
              </w:rPr>
              <w:t>Directly applicable to EIX. PCG's framing of SB 254 as a prerequisite for investment grade and lower financing costs mirrors EIX management's 'existential urgency' language. Legislative session ends August 31 — this is the key binary risk for both names.</w:t>
            </w:r>
          </w:p>
        </w:tc>
        <w:tc>
          <w:tcPr>
            <w:tcW w:type="dxa" w:w="2160"/>
          </w:tcPr>
          <w:p>
            <w:r>
              <w:rPr>
                <w:rFonts w:ascii="Calibri" w:hAnsi="Calibri"/>
                <w:b/>
                <w:color w:val="002FA7"/>
                <w:sz w:val="22"/>
              </w:rPr>
              <w:t>MIXED</w:t>
            </w:r>
          </w:p>
        </w:tc>
      </w:tr>
      <w:tr>
        <w:tc>
          <w:tcPr>
            <w:tcW w:type="dxa" w:w="2160"/>
          </w:tcPr>
          <w:p>
            <w:r>
              <w:rPr>
                <w:rFonts w:ascii="Calibri" w:hAnsi="Calibri"/>
                <w:sz w:val="22"/>
              </w:rPr>
              <w:t>O&amp;M Cost Reduction</w:t>
            </w:r>
          </w:p>
        </w:tc>
        <w:tc>
          <w:tcPr>
            <w:tcW w:type="dxa" w:w="2160"/>
          </w:tcPr>
          <w:p>
            <w:r>
              <w:rPr>
                <w:rFonts w:ascii="Calibri" w:hAnsi="Calibri"/>
                <w:sz w:val="22"/>
              </w:rPr>
              <w:t>Saved 'more than $40 million already this year through targeted sourcing and procurement initiatives.' On track for '2 to 4% annual reductions in nonfuel O&amp;M.'</w:t>
            </w:r>
          </w:p>
        </w:tc>
        <w:tc>
          <w:tcPr>
            <w:tcW w:type="dxa" w:w="2160"/>
          </w:tcPr>
          <w:p>
            <w:r>
              <w:rPr>
                <w:rFonts w:ascii="Calibri" w:hAnsi="Calibri"/>
                <w:sz w:val="22"/>
              </w:rPr>
              <w:t>EIX has similarly emphasized operating efficiency and cost management. PCG's demonstrated O&amp;M discipline is a positive read-through for EIX's ability to manage costs within GRC-approved levels.</w:t>
            </w:r>
          </w:p>
        </w:tc>
        <w:tc>
          <w:tcPr>
            <w:tcW w:type="dxa" w:w="2160"/>
          </w:tcPr>
          <w:p>
            <w:r>
              <w:rPr>
                <w:rFonts w:ascii="Calibri" w:hAnsi="Calibri"/>
                <w:b/>
                <w:color w:val="30A46C"/>
                <w:sz w:val="22"/>
              </w:rPr>
              <w:t>POSITIVE</w:t>
            </w:r>
          </w:p>
        </w:tc>
      </w:tr>
      <w:tr>
        <w:tc>
          <w:tcPr>
            <w:tcW w:type="dxa" w:w="2160"/>
          </w:tcPr>
          <w:p>
            <w:r>
              <w:rPr>
                <w:rFonts w:ascii="Calibri" w:hAnsi="Calibri"/>
                <w:sz w:val="22"/>
              </w:rPr>
              <w:t>Financing / Credit</w:t>
            </w:r>
          </w:p>
        </w:tc>
        <w:tc>
          <w:tcPr>
            <w:tcW w:type="dxa" w:w="2160"/>
          </w:tcPr>
          <w:p>
            <w:r>
              <w:rPr>
                <w:rFonts w:ascii="Calibri" w:hAnsi="Calibri"/>
                <w:sz w:val="22"/>
              </w:rPr>
              <w:t>S&amp;P upgraded PCG 'to just one notch below investment grade.' Completed '$2.2 billion utility bond issuance' in June. Five-year financing plan 'unchanged' with equity needs 'fully satisfied through 2030.'</w:t>
            </w:r>
          </w:p>
        </w:tc>
        <w:tc>
          <w:tcPr>
            <w:tcW w:type="dxa" w:w="2160"/>
          </w:tcPr>
          <w:p>
            <w:r>
              <w:rPr>
                <w:rFonts w:ascii="Calibri" w:hAnsi="Calibri"/>
                <w:sz w:val="22"/>
              </w:rPr>
              <w:t>EIX already has investment-grade ratings and one of the strongest FFO/debt ratios among peers per S&amp;P. PCG's credit improvement trajectory is a sector-wide positive for utility financing conditions.</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8B. Entergy (ETR) — Q2 2026 Earnings (July 28–29, 2026)</w:t>
      </w:r>
    </w:p>
    <w:p>
      <w:r>
        <w:rPr>
          <w:rFonts w:ascii="Calibri" w:hAnsi="Calibri"/>
          <w:b/>
          <w:color w:val="525866"/>
          <w:sz w:val="22"/>
        </w:rPr>
        <w:t xml:space="preserve">Overall Read-Through for EIX: </w:t>
      </w:r>
      <w:r>
        <w:rPr>
          <w:rFonts w:ascii="Calibri" w:hAnsi="Calibri"/>
          <w:b/>
          <w:color w:val="30A46C"/>
          <w:sz w:val="22"/>
        </w:rPr>
        <w:t>POSITIVE</w:t>
      </w:r>
    </w:p>
    <w:p>
      <w:r>
        <w:rPr>
          <w:rFonts w:ascii="Calibri" w:hAnsi="Calibri"/>
          <w:color w:val="525866"/>
          <w:sz w:val="22"/>
        </w:rPr>
        <w:t>Entergy reported Q2 2026 results and affirmed its 2026 adjusted EPS guidance and long-term outlooks through 2030. ETR is not a direct California peer but is highly relevant for load growth, data center demand, and regulatory recovery themes.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ETR Commentary</w:t>
            </w:r>
          </w:p>
        </w:tc>
        <w:tc>
          <w:tcPr>
            <w:tcW w:type="dxa" w:w="2160"/>
            <w:shd w:val="clear" w:color="auto" w:fill="3B4259"/>
          </w:tcPr>
          <w:p>
            <w:r>
              <w:rPr>
                <w:rFonts w:ascii="Calibri" w:hAnsi="Calibri"/>
                <w:b/>
                <w:color w:val="FFFFFF"/>
                <w:sz w:val="22"/>
              </w:rPr>
              <w:t>Read-Through for EIX</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Guidance Affirmation</w:t>
            </w:r>
          </w:p>
        </w:tc>
        <w:tc>
          <w:tcPr>
            <w:tcW w:type="dxa" w:w="2160"/>
          </w:tcPr>
          <w:p>
            <w:r>
              <w:rPr>
                <w:rFonts w:ascii="Calibri" w:hAnsi="Calibri"/>
                <w:sz w:val="22"/>
              </w:rPr>
              <w:t>'Firmly on track to meet our 2026 adjusted EPS guidance and longer term outlooks.' Affirming guidance and outlooks through 2030.</w:t>
            </w:r>
          </w:p>
        </w:tc>
        <w:tc>
          <w:tcPr>
            <w:tcW w:type="dxa" w:w="2160"/>
          </w:tcPr>
          <w:p>
            <w:r>
              <w:rPr>
                <w:rFonts w:ascii="Calibri" w:hAnsi="Calibri"/>
                <w:sz w:val="22"/>
              </w:rPr>
              <w:t>Sector-wide guidance affirmation trend is positive for EIX's own reaffirmation of $5.90–$6.20 FY 2026 Core EPS.</w:t>
            </w:r>
          </w:p>
        </w:tc>
        <w:tc>
          <w:tcPr>
            <w:tcW w:type="dxa" w:w="2160"/>
          </w:tcPr>
          <w:p>
            <w:r>
              <w:rPr>
                <w:rFonts w:ascii="Calibri" w:hAnsi="Calibri"/>
                <w:b/>
                <w:color w:val="30A46C"/>
                <w:sz w:val="22"/>
              </w:rPr>
              <w:t>POSITIVE</w:t>
            </w:r>
          </w:p>
        </w:tc>
      </w:tr>
      <w:tr>
        <w:tc>
          <w:tcPr>
            <w:tcW w:type="dxa" w:w="2160"/>
          </w:tcPr>
          <w:p>
            <w:r>
              <w:rPr>
                <w:rFonts w:ascii="Calibri" w:hAnsi="Calibri"/>
                <w:sz w:val="22"/>
              </w:rPr>
              <w:t>Data Center / Load Growth</w:t>
            </w:r>
          </w:p>
        </w:tc>
        <w:tc>
          <w:tcPr>
            <w:tcW w:type="dxa" w:w="2160"/>
          </w:tcPr>
          <w:p>
            <w:r>
              <w:rPr>
                <w:rFonts w:ascii="Calibri" w:hAnsi="Calibri"/>
                <w:sz w:val="22"/>
              </w:rPr>
              <w:t>'7 to 12 GW of hyperscale data center potential in our pipeline, as well as 3 to 5 GW of interest from traditional industrial segments.' '10% industrial sales growth as new and expansion projects continue to ramp up.' Interest 'continued to grow' since Investor Day.</w:t>
            </w:r>
          </w:p>
        </w:tc>
        <w:tc>
          <w:tcPr>
            <w:tcW w:type="dxa" w:w="2160"/>
          </w:tcPr>
          <w:p>
            <w:r>
              <w:rPr>
                <w:rFonts w:ascii="Calibri" w:hAnsi="Calibri"/>
                <w:sz w:val="22"/>
              </w:rPr>
              <w:t>Validates the secular load growth thesis. EIX's service territory (Southern California) has significant electrification and data center potential. ETR's 10% industrial sales growth is a strong leading indicator for utility revenue growth broadly.</w:t>
            </w:r>
          </w:p>
        </w:tc>
        <w:tc>
          <w:tcPr>
            <w:tcW w:type="dxa" w:w="2160"/>
          </w:tcPr>
          <w:p>
            <w:r>
              <w:rPr>
                <w:rFonts w:ascii="Calibri" w:hAnsi="Calibri"/>
                <w:b/>
                <w:color w:val="30A46C"/>
                <w:sz w:val="22"/>
              </w:rPr>
              <w:t>POSITIVE</w:t>
            </w:r>
          </w:p>
        </w:tc>
      </w:tr>
      <w:tr>
        <w:tc>
          <w:tcPr>
            <w:tcW w:type="dxa" w:w="2160"/>
          </w:tcPr>
          <w:p>
            <w:r>
              <w:rPr>
                <w:rFonts w:ascii="Calibri" w:hAnsi="Calibri"/>
                <w:sz w:val="22"/>
              </w:rPr>
              <w:t>Weather Impact on Q2</w:t>
            </w:r>
          </w:p>
        </w:tc>
        <w:tc>
          <w:tcPr>
            <w:tcW w:type="dxa" w:w="2160"/>
          </w:tcPr>
          <w:p>
            <w:r>
              <w:rPr>
                <w:rFonts w:ascii="Calibri" w:hAnsi="Calibri"/>
                <w:sz w:val="22"/>
              </w:rPr>
              <w:t>Q2 2026 adjusted EPS 'slightly lower than last year as weather was close to normal compared to warmer weather in 2025.' Assuming normal weather in Q3, majority of YoY earnings increase expected in Q4.</w:t>
            </w:r>
          </w:p>
        </w:tc>
        <w:tc>
          <w:tcPr>
            <w:tcW w:type="dxa" w:w="2160"/>
          </w:tcPr>
          <w:p>
            <w:r>
              <w:rPr>
                <w:rFonts w:ascii="Calibri" w:hAnsi="Calibri"/>
                <w:sz w:val="22"/>
              </w:rPr>
              <w:t>Weather was a modest headwind for ETR in Q2 vs. prior year. EIX's Q2 is typically its weakest seasonal quarter; normal weather is already embedded in consensus. Slight negative read-through if Q2 2026 California weather was also cooler than 2025.</w:t>
            </w:r>
          </w:p>
        </w:tc>
        <w:tc>
          <w:tcPr>
            <w:tcW w:type="dxa" w:w="2160"/>
          </w:tcPr>
          <w:p>
            <w:r>
              <w:rPr>
                <w:rFonts w:ascii="Calibri" w:hAnsi="Calibri"/>
                <w:b/>
                <w:color w:val="002FA7"/>
                <w:sz w:val="22"/>
              </w:rPr>
              <w:t>MIXED</w:t>
            </w:r>
          </w:p>
        </w:tc>
      </w:tr>
      <w:tr>
        <w:tc>
          <w:tcPr>
            <w:tcW w:type="dxa" w:w="2160"/>
          </w:tcPr>
          <w:p>
            <w:r>
              <w:rPr>
                <w:rFonts w:ascii="Calibri" w:hAnsi="Calibri"/>
                <w:sz w:val="22"/>
              </w:rPr>
              <w:t>Regulatory Recovery</w:t>
            </w:r>
          </w:p>
        </w:tc>
        <w:tc>
          <w:tcPr>
            <w:tcW w:type="dxa" w:w="2160"/>
          </w:tcPr>
          <w:p>
            <w:r>
              <w:rPr>
                <w:rFonts w:ascii="Calibri" w:hAnsi="Calibri"/>
                <w:sz w:val="22"/>
              </w:rPr>
              <w:t>Multiple FRP filings approved or pending. Louisiana Governor signed executive order ensuring data centers provide customer benefits. 'Credit profile appears positioned to benefit from data center expansion' per S&amp;P.</w:t>
            </w:r>
          </w:p>
        </w:tc>
        <w:tc>
          <w:tcPr>
            <w:tcW w:type="dxa" w:w="2160"/>
          </w:tcPr>
          <w:p>
            <w:r>
              <w:rPr>
                <w:rFonts w:ascii="Calibri" w:hAnsi="Calibri"/>
                <w:sz w:val="22"/>
              </w:rPr>
              <w:t>Constructive regulatory environment for utilities managing large load growth is a positive read-through. EIX's CPUC relationship has improved following the 2025 GRC final decision.</w:t>
            </w:r>
          </w:p>
        </w:tc>
        <w:tc>
          <w:tcPr>
            <w:tcW w:type="dxa" w:w="2160"/>
          </w:tcPr>
          <w:p>
            <w:r>
              <w:rPr>
                <w:rFonts w:ascii="Calibri" w:hAnsi="Calibri"/>
                <w:b/>
                <w:color w:val="30A46C"/>
                <w:sz w:val="22"/>
              </w:rPr>
              <w:t>POSITIVE</w:t>
            </w:r>
          </w:p>
        </w:tc>
      </w:tr>
      <w:tr>
        <w:tc>
          <w:tcPr>
            <w:tcW w:type="dxa" w:w="2160"/>
          </w:tcPr>
          <w:p>
            <w:r>
              <w:rPr>
                <w:rFonts w:ascii="Calibri" w:hAnsi="Calibri"/>
                <w:sz w:val="22"/>
              </w:rPr>
              <w:t>Credit / Financing</w:t>
            </w:r>
          </w:p>
        </w:tc>
        <w:tc>
          <w:tcPr>
            <w:tcW w:type="dxa" w:w="2160"/>
          </w:tcPr>
          <w:p>
            <w:r>
              <w:rPr>
                <w:rFonts w:ascii="Calibri" w:hAnsi="Calibri"/>
                <w:sz w:val="22"/>
              </w:rPr>
              <w:t>FFO to debt 'at or above 15% throughout the outlook period.' Completed '$2.175 billion offering for equity forwards.' ~60% of five-year equity plan contracted.</w:t>
            </w:r>
          </w:p>
        </w:tc>
        <w:tc>
          <w:tcPr>
            <w:tcW w:type="dxa" w:w="2160"/>
          </w:tcPr>
          <w:p>
            <w:r>
              <w:rPr>
                <w:rFonts w:ascii="Calibri" w:hAnsi="Calibri"/>
                <w:sz w:val="22"/>
              </w:rPr>
              <w:t>EIX targets 15–17% FFO/debt and has no equity issuance needs through 2030. ETR's proactive financing is a sector-wide positive for capital markets access.</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8C. DTE Energy (DTE) — Q2 2026 Earnings (July 28, 2026)</w:t>
      </w:r>
    </w:p>
    <w:p>
      <w:r>
        <w:rPr>
          <w:rFonts w:ascii="Calibri" w:hAnsi="Calibri"/>
          <w:b/>
          <w:color w:val="525866"/>
          <w:sz w:val="22"/>
        </w:rPr>
        <w:t xml:space="preserve">Overall Read-Through for EIX: </w:t>
      </w:r>
      <w:r>
        <w:rPr>
          <w:rFonts w:ascii="Calibri" w:hAnsi="Calibri"/>
          <w:b/>
          <w:color w:val="002FA7"/>
          <w:sz w:val="22"/>
        </w:rPr>
        <w:t>MIXED</w:t>
      </w:r>
    </w:p>
    <w:p>
      <w:r>
        <w:rPr>
          <w:rFonts w:ascii="Calibri" w:hAnsi="Calibri"/>
          <w:color w:val="525866"/>
          <w:sz w:val="22"/>
        </w:rPr>
        <w:t>DTE reported Q2 2026 operating EPS of $1.32 and guided to the high end of its 2026 range, driven by data center momentum (1.4 GW Oracle + 1 GW Google agreements). However, weather headwinds and a severe July storm highlight operational risks. DTE is not a California peer but is relevant for data center load growth and regulatory recovery themes.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DTE Commentary</w:t>
            </w:r>
          </w:p>
        </w:tc>
        <w:tc>
          <w:tcPr>
            <w:tcW w:type="dxa" w:w="2160"/>
            <w:shd w:val="clear" w:color="auto" w:fill="3B4259"/>
          </w:tcPr>
          <w:p>
            <w:r>
              <w:rPr>
                <w:rFonts w:ascii="Calibri" w:hAnsi="Calibri"/>
                <w:b/>
                <w:color w:val="FFFFFF"/>
                <w:sz w:val="22"/>
              </w:rPr>
              <w:t>Read-Through for EIX</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Data Center Momentum</w:t>
            </w:r>
          </w:p>
        </w:tc>
        <w:tc>
          <w:tcPr>
            <w:tcW w:type="dxa" w:w="2160"/>
          </w:tcPr>
          <w:p>
            <w:r>
              <w:rPr>
                <w:rFonts w:ascii="Calibri" w:hAnsi="Calibri"/>
                <w:sz w:val="22"/>
              </w:rPr>
              <w:t>1.4 GW Oracle (approved, under construction) + 1 GW Google (pending MPSC approval). '5 to 6 GW of additional opportunities.' Google contract 'gets us solidly to eight' percent EPS growth. Oracle expected to provide '$300 million of annual benefits for existing customers.'</w:t>
            </w:r>
          </w:p>
        </w:tc>
        <w:tc>
          <w:tcPr>
            <w:tcW w:type="dxa" w:w="2160"/>
          </w:tcPr>
          <w:p>
            <w:r>
              <w:rPr>
                <w:rFonts w:ascii="Calibri" w:hAnsi="Calibri"/>
                <w:sz w:val="22"/>
              </w:rPr>
              <w:t>Strong data center demand is a sector-wide positive. EIX's load growth CAGR of ~3% near-term and electrification thesis are supported by DTE's concrete pipeline execution. Positive for EIX's rate base growth narrative.</w:t>
            </w:r>
          </w:p>
        </w:tc>
        <w:tc>
          <w:tcPr>
            <w:tcW w:type="dxa" w:w="2160"/>
          </w:tcPr>
          <w:p>
            <w:r>
              <w:rPr>
                <w:rFonts w:ascii="Calibri" w:hAnsi="Calibri"/>
                <w:b/>
                <w:color w:val="30A46C"/>
                <w:sz w:val="22"/>
              </w:rPr>
              <w:t>POSITIVE</w:t>
            </w:r>
          </w:p>
        </w:tc>
      </w:tr>
      <w:tr>
        <w:tc>
          <w:tcPr>
            <w:tcW w:type="dxa" w:w="2160"/>
          </w:tcPr>
          <w:p>
            <w:r>
              <w:rPr>
                <w:rFonts w:ascii="Calibri" w:hAnsi="Calibri"/>
                <w:sz w:val="22"/>
              </w:rPr>
              <w:t>Weather Headwinds (Q2)</w:t>
            </w:r>
          </w:p>
        </w:tc>
        <w:tc>
          <w:tcPr>
            <w:tcW w:type="dxa" w:w="2160"/>
          </w:tcPr>
          <w:p>
            <w:r>
              <w:rPr>
                <w:rFonts w:ascii="Calibri" w:hAnsi="Calibri"/>
                <w:sz w:val="22"/>
              </w:rPr>
              <w:t>DC electric earnings '$48 million lower than Q2 2025' due to 'colder weather.' Gas earnings '$10 million lower' due to 'warmer weather.' 'Challenges related to mild first half weather.'</w:t>
            </w:r>
          </w:p>
        </w:tc>
        <w:tc>
          <w:tcPr>
            <w:tcW w:type="dxa" w:w="2160"/>
          </w:tcPr>
          <w:p>
            <w:r>
              <w:rPr>
                <w:rFonts w:ascii="Calibri" w:hAnsi="Calibri"/>
                <w:sz w:val="22"/>
              </w:rPr>
              <w:t>Weather was a meaningful headwind for DTE in Q2. If California also experienced cooler-than-normal weather in Q2 2026, EIX's electric sales volumes could be below the prior year, pressuring revenue. Modest negative read-through.</w:t>
            </w:r>
          </w:p>
        </w:tc>
        <w:tc>
          <w:tcPr>
            <w:tcW w:type="dxa" w:w="2160"/>
          </w:tcPr>
          <w:p>
            <w:r>
              <w:rPr>
                <w:rFonts w:ascii="Calibri" w:hAnsi="Calibri"/>
                <w:b/>
                <w:color w:val="E5484D"/>
                <w:sz w:val="22"/>
              </w:rPr>
              <w:t>NEGATIVE</w:t>
            </w:r>
          </w:p>
        </w:tc>
      </w:tr>
      <w:tr>
        <w:tc>
          <w:tcPr>
            <w:tcW w:type="dxa" w:w="2160"/>
          </w:tcPr>
          <w:p>
            <w:r>
              <w:rPr>
                <w:rFonts w:ascii="Calibri" w:hAnsi="Calibri"/>
                <w:sz w:val="22"/>
              </w:rPr>
              <w:t>Storm / Outage Risk</w:t>
            </w:r>
          </w:p>
        </w:tc>
        <w:tc>
          <w:tcPr>
            <w:tcW w:type="dxa" w:w="2160"/>
          </w:tcPr>
          <w:p>
            <w:r>
              <w:rPr>
                <w:rFonts w:ascii="Calibri" w:hAnsi="Calibri"/>
                <w:sz w:val="22"/>
              </w:rPr>
              <w:t>Severe July storm impacted 'nearly 400,000 customers' with 'more than 600 broken poles.' Restoration times 'extended beyond what we would typically target.' Investing '$11 billion over the next five years' for reliability.</w:t>
            </w:r>
          </w:p>
        </w:tc>
        <w:tc>
          <w:tcPr>
            <w:tcW w:type="dxa" w:w="2160"/>
          </w:tcPr>
          <w:p>
            <w:r>
              <w:rPr>
                <w:rFonts w:ascii="Calibri" w:hAnsi="Calibri"/>
                <w:sz w:val="22"/>
              </w:rPr>
              <w:t>EIX's distribution hardening (~93% complete) and PSPS protocols are designed to mitigate this risk. DTE's experience reinforces the investment case for grid hardening but also highlights that extreme weather events remain a risk even for well-invested utilities.</w:t>
            </w:r>
          </w:p>
        </w:tc>
        <w:tc>
          <w:tcPr>
            <w:tcW w:type="dxa" w:w="2160"/>
          </w:tcPr>
          <w:p>
            <w:r>
              <w:rPr>
                <w:rFonts w:ascii="Calibri" w:hAnsi="Calibri"/>
                <w:b/>
                <w:color w:val="002FA7"/>
                <w:sz w:val="22"/>
              </w:rPr>
              <w:t>NEUTRAL</w:t>
            </w:r>
          </w:p>
        </w:tc>
      </w:tr>
      <w:tr>
        <w:tc>
          <w:tcPr>
            <w:tcW w:type="dxa" w:w="2160"/>
          </w:tcPr>
          <w:p>
            <w:r>
              <w:rPr>
                <w:rFonts w:ascii="Calibri" w:hAnsi="Calibri"/>
                <w:sz w:val="22"/>
              </w:rPr>
              <w:t>Guidance / EPS Trajectory</w:t>
            </w:r>
          </w:p>
        </w:tc>
        <w:tc>
          <w:tcPr>
            <w:tcW w:type="dxa" w:w="2160"/>
          </w:tcPr>
          <w:p>
            <w:r>
              <w:rPr>
                <w:rFonts w:ascii="Calibri" w:hAnsi="Calibri"/>
                <w:sz w:val="22"/>
              </w:rPr>
              <w:t>'On track to reach the high end of our operating EPS guidance this year.' Confident in '6 to 8% operating EPS growth through 2030.' Google contract provides 'upside to our current long term plan.'</w:t>
            </w:r>
          </w:p>
        </w:tc>
        <w:tc>
          <w:tcPr>
            <w:tcW w:type="dxa" w:w="2160"/>
          </w:tcPr>
          <w:p>
            <w:r>
              <w:rPr>
                <w:rFonts w:ascii="Calibri" w:hAnsi="Calibri"/>
                <w:sz w:val="22"/>
              </w:rPr>
              <w:t>Sector-wide guidance affirmation and upside from data centers is positive for EIX's own 5–7% Core EPS CAGR target. DTE's ability to guide to the high end despite weather headwinds is encouraging.</w:t>
            </w:r>
          </w:p>
        </w:tc>
        <w:tc>
          <w:tcPr>
            <w:tcW w:type="dxa" w:w="2160"/>
          </w:tcPr>
          <w:p>
            <w:r>
              <w:rPr>
                <w:rFonts w:ascii="Calibri" w:hAnsi="Calibri"/>
                <w:b/>
                <w:color w:val="30A46C"/>
                <w:sz w:val="22"/>
              </w:rPr>
              <w:t>POSITIVE</w:t>
            </w:r>
          </w:p>
        </w:tc>
      </w:tr>
      <w:tr>
        <w:tc>
          <w:tcPr>
            <w:tcW w:type="dxa" w:w="2160"/>
          </w:tcPr>
          <w:p>
            <w:r>
              <w:rPr>
                <w:rFonts w:ascii="Calibri" w:hAnsi="Calibri"/>
                <w:sz w:val="22"/>
              </w:rPr>
              <w:t>Regulatory Strategy</w:t>
            </w:r>
          </w:p>
        </w:tc>
        <w:tc>
          <w:tcPr>
            <w:tcW w:type="dxa" w:w="2160"/>
          </w:tcPr>
          <w:p>
            <w:r>
              <w:rPr>
                <w:rFonts w:ascii="Calibri" w:hAnsi="Calibri"/>
                <w:sz w:val="22"/>
              </w:rPr>
              <w:t>Filed distribution system plan in April 2026. Proposed 'rate case stay out until at least 2028' if Oracle load ramps as expected. 'Stay out mechanism was viewed very positively' by intervenors and staff.</w:t>
            </w:r>
          </w:p>
        </w:tc>
        <w:tc>
          <w:tcPr>
            <w:tcW w:type="dxa" w:w="2160"/>
          </w:tcPr>
          <w:p>
            <w:r>
              <w:rPr>
                <w:rFonts w:ascii="Calibri" w:hAnsi="Calibri"/>
                <w:sz w:val="22"/>
              </w:rPr>
              <w:t>EIX's 2025 GRC provides visibility through 2028. DTE's constructive regulatory approach (stay-out mechanism, data center cost allocation) mirrors EIX's strategy of aligning capex with customer benefit.</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8D. NextEra Energy (NEE) — Q2 2026 Earnings (July 24, 2026)</w:t>
      </w:r>
    </w:p>
    <w:p>
      <w:r>
        <w:rPr>
          <w:rFonts w:ascii="Calibri" w:hAnsi="Calibri"/>
          <w:b/>
          <w:color w:val="525866"/>
          <w:sz w:val="22"/>
        </w:rPr>
        <w:t xml:space="preserve">Overall Read-Through for EIX: </w:t>
      </w:r>
      <w:r>
        <w:rPr>
          <w:rFonts w:ascii="Calibri" w:hAnsi="Calibri"/>
          <w:b/>
          <w:color w:val="30A46C"/>
          <w:sz w:val="22"/>
        </w:rPr>
        <w:t>POSITIVE</w:t>
      </w:r>
    </w:p>
    <w:p>
      <w:r>
        <w:rPr>
          <w:rFonts w:ascii="Calibri" w:hAnsi="Calibri"/>
          <w:color w:val="525866"/>
          <w:sz w:val="22"/>
        </w:rPr>
        <w:t>NEE reported Q2 2026 adjusted EPS of $1.15 vs. $1.11 consensus (+3.6% beat). Florida Power &amp; Light net income rose to $1.41B from $1.28B YoY. NextEra Energy Resources added ~3.6 GW of new renewables/storage to backlog (total ~35.1 GW). NEE is the largest US utility and a bellwether for the sector.</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NEE Commentary</w:t>
            </w:r>
          </w:p>
        </w:tc>
        <w:tc>
          <w:tcPr>
            <w:tcW w:type="dxa" w:w="2160"/>
            <w:shd w:val="clear" w:color="auto" w:fill="3B4259"/>
          </w:tcPr>
          <w:p>
            <w:r>
              <w:rPr>
                <w:rFonts w:ascii="Calibri" w:hAnsi="Calibri"/>
                <w:b/>
                <w:color w:val="FFFFFF"/>
                <w:sz w:val="22"/>
              </w:rPr>
              <w:t>Read-Through for EIX</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Regulated Utility Beat</w:t>
            </w:r>
          </w:p>
        </w:tc>
        <w:tc>
          <w:tcPr>
            <w:tcW w:type="dxa" w:w="2160"/>
          </w:tcPr>
          <w:p>
            <w:r>
              <w:rPr>
                <w:rFonts w:ascii="Calibri" w:hAnsi="Calibri"/>
                <w:sz w:val="22"/>
              </w:rPr>
              <w:t>FPL net income rose to $1.41B from $1.28B YoY. Beat driven by 'strength in its renewables unit and increased power demand.' Adjusted EPS of $1.15 beat $1.11 consensus.</w:t>
            </w:r>
          </w:p>
        </w:tc>
        <w:tc>
          <w:tcPr>
            <w:tcW w:type="dxa" w:w="2160"/>
          </w:tcPr>
          <w:p>
            <w:r>
              <w:rPr>
                <w:rFonts w:ascii="Calibri" w:hAnsi="Calibri"/>
                <w:sz w:val="22"/>
              </w:rPr>
              <w:t>NEE's regulated utility beat confirms that rate base growth and load growth are translating into earnings. Positive read-through for EIX's GRC-driven revenue growth in Q2 2026.</w:t>
            </w:r>
          </w:p>
        </w:tc>
        <w:tc>
          <w:tcPr>
            <w:tcW w:type="dxa" w:w="2160"/>
          </w:tcPr>
          <w:p>
            <w:r>
              <w:rPr>
                <w:rFonts w:ascii="Calibri" w:hAnsi="Calibri"/>
                <w:b/>
                <w:color w:val="30A46C"/>
                <w:sz w:val="22"/>
              </w:rPr>
              <w:t>POSITIVE</w:t>
            </w:r>
          </w:p>
        </w:tc>
      </w:tr>
      <w:tr>
        <w:tc>
          <w:tcPr>
            <w:tcW w:type="dxa" w:w="2160"/>
          </w:tcPr>
          <w:p>
            <w:r>
              <w:rPr>
                <w:rFonts w:ascii="Calibri" w:hAnsi="Calibri"/>
                <w:sz w:val="22"/>
              </w:rPr>
              <w:t>Renewables / Storage Backlog</w:t>
            </w:r>
          </w:p>
        </w:tc>
        <w:tc>
          <w:tcPr>
            <w:tcW w:type="dxa" w:w="2160"/>
          </w:tcPr>
          <w:p>
            <w:r>
              <w:rPr>
                <w:rFonts w:ascii="Calibri" w:hAnsi="Calibri"/>
                <w:sz w:val="22"/>
              </w:rPr>
              <w:t>NEER added ~3.6 GW to backlog (total ~35.1 GW). NEER quarterly net income rose to $1.63B from $983M YoY.</w:t>
            </w:r>
          </w:p>
        </w:tc>
        <w:tc>
          <w:tcPr>
            <w:tcW w:type="dxa" w:w="2160"/>
          </w:tcPr>
          <w:p>
            <w:r>
              <w:rPr>
                <w:rFonts w:ascii="Calibri" w:hAnsi="Calibri"/>
                <w:sz w:val="22"/>
              </w:rPr>
              <w:t>EIX's capex plan includes significant renewable and grid investment. NEE's backlog growth validates the long-term demand for clean energy infrastructure in which EIX is investing.</w:t>
            </w:r>
          </w:p>
        </w:tc>
        <w:tc>
          <w:tcPr>
            <w:tcW w:type="dxa" w:w="2160"/>
          </w:tcPr>
          <w:p>
            <w:r>
              <w:rPr>
                <w:rFonts w:ascii="Calibri" w:hAnsi="Calibri"/>
                <w:b/>
                <w:color w:val="30A46C"/>
                <w:sz w:val="22"/>
              </w:rPr>
              <w:t>POSITIVE</w:t>
            </w:r>
          </w:p>
        </w:tc>
      </w:tr>
      <w:tr>
        <w:tc>
          <w:tcPr>
            <w:tcW w:type="dxa" w:w="2160"/>
          </w:tcPr>
          <w:p>
            <w:r>
              <w:rPr>
                <w:rFonts w:ascii="Calibri" w:hAnsi="Calibri"/>
                <w:sz w:val="22"/>
              </w:rPr>
              <w:t>$100B Data Center Campus (July 29)</w:t>
            </w:r>
          </w:p>
        </w:tc>
        <w:tc>
          <w:tcPr>
            <w:tcW w:type="dxa" w:w="2160"/>
          </w:tcPr>
          <w:p>
            <w:r>
              <w:rPr>
                <w:rFonts w:ascii="Calibri" w:hAnsi="Calibri"/>
                <w:sz w:val="22"/>
              </w:rPr>
              <w:t>NEE and Brookfield announced a $100B data center campus in Kentucky (1.2+ GW compute, 1.8 GW grid supply, 2 GW natural gas + 2.6 GW battery storage). Operations begin 2028.</w:t>
            </w:r>
          </w:p>
        </w:tc>
        <w:tc>
          <w:tcPr>
            <w:tcW w:type="dxa" w:w="2160"/>
          </w:tcPr>
          <w:p>
            <w:r>
              <w:rPr>
                <w:rFonts w:ascii="Calibri" w:hAnsi="Calibri"/>
                <w:sz w:val="22"/>
              </w:rPr>
              <w:t>Reinforces the secular utility investment thesis. EIX's $38–41B capex plan is underpinned by similar load growth expectations. NEE's ability to attract hyperscale investment validates the utility sector's role in the AI infrastructure buildout.</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8E. CMS Energy (CMS) — Q2 2026 Earnings (July 28, 2026)</w:t>
      </w:r>
    </w:p>
    <w:p>
      <w:r>
        <w:rPr>
          <w:rFonts w:ascii="Calibri" w:hAnsi="Calibri"/>
          <w:b/>
          <w:color w:val="525866"/>
          <w:sz w:val="22"/>
        </w:rPr>
        <w:t xml:space="preserve">Overall Read-Through for EIX: </w:t>
      </w:r>
      <w:r>
        <w:rPr>
          <w:rFonts w:ascii="Calibri" w:hAnsi="Calibri"/>
          <w:b/>
          <w:color w:val="002FA7"/>
          <w:sz w:val="22"/>
        </w:rPr>
        <w:t>MIXED</w:t>
      </w:r>
    </w:p>
    <w:p>
      <w:r>
        <w:rPr>
          <w:rFonts w:ascii="Calibri" w:hAnsi="Calibri"/>
          <w:color w:val="525866"/>
          <w:sz w:val="22"/>
        </w:rPr>
        <w:t>CMS narrowly beat Q2 adjusted EPS (37 cents vs. 36 cents consensus) but its 2027 guidance midpoint of $4.13 came in below the $4.17 analyst average. CMS also announced it would exit non-utility renewables development to focus on its regulated business. Net income fell 40.3% YoY. CMS reaffirmed its FY 2026 guidance of $3.83–$3.90.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CMS Commentary</w:t>
            </w:r>
          </w:p>
        </w:tc>
        <w:tc>
          <w:tcPr>
            <w:tcW w:type="dxa" w:w="2160"/>
            <w:shd w:val="clear" w:color="auto" w:fill="3B4259"/>
          </w:tcPr>
          <w:p>
            <w:r>
              <w:rPr>
                <w:rFonts w:ascii="Calibri" w:hAnsi="Calibri"/>
                <w:b/>
                <w:color w:val="FFFFFF"/>
                <w:sz w:val="22"/>
              </w:rPr>
              <w:t>Read-Through for EIX</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2027 Guidance Below Consensus</w:t>
            </w:r>
          </w:p>
        </w:tc>
        <w:tc>
          <w:tcPr>
            <w:tcW w:type="dxa" w:w="2160"/>
          </w:tcPr>
          <w:p>
            <w:r>
              <w:rPr>
                <w:rFonts w:ascii="Calibri" w:hAnsi="Calibri"/>
                <w:sz w:val="22"/>
              </w:rPr>
              <w:t>2027 adjusted EPS midpoint of $4.13 below analyst average of $4.17. Net income fell 40.3% YoY. Total quarterly operating expenses rose 2.6%.</w:t>
            </w:r>
          </w:p>
        </w:tc>
        <w:tc>
          <w:tcPr>
            <w:tcW w:type="dxa" w:w="2160"/>
          </w:tcPr>
          <w:p>
            <w:r>
              <w:rPr>
                <w:rFonts w:ascii="Calibri" w:hAnsi="Calibri"/>
                <w:sz w:val="22"/>
              </w:rPr>
              <w:t>EIX's 2027 Core EPS consensus of $6.53 is above the guidance midpoint of $6.45. CMS's below-consensus 2027 guide is a mild negative read-through for sector-wide forward estimates, but EIX's situation is more favorable given GRC visibility.</w:t>
            </w:r>
          </w:p>
        </w:tc>
        <w:tc>
          <w:tcPr>
            <w:tcW w:type="dxa" w:w="2160"/>
          </w:tcPr>
          <w:p>
            <w:r>
              <w:rPr>
                <w:rFonts w:ascii="Calibri" w:hAnsi="Calibri"/>
                <w:b/>
                <w:color w:val="002FA7"/>
                <w:sz w:val="22"/>
              </w:rPr>
              <w:t>MIXED</w:t>
            </w:r>
          </w:p>
        </w:tc>
      </w:tr>
      <w:tr>
        <w:tc>
          <w:tcPr>
            <w:tcW w:type="dxa" w:w="2160"/>
          </w:tcPr>
          <w:p>
            <w:r>
              <w:rPr>
                <w:rFonts w:ascii="Calibri" w:hAnsi="Calibri"/>
                <w:sz w:val="22"/>
              </w:rPr>
              <w:t>Exit Non-Utility Renewables</w:t>
            </w:r>
          </w:p>
        </w:tc>
        <w:tc>
          <w:tcPr>
            <w:tcW w:type="dxa" w:w="2160"/>
          </w:tcPr>
          <w:p>
            <w:r>
              <w:rPr>
                <w:rFonts w:ascii="Calibri" w:hAnsi="Calibri"/>
                <w:sz w:val="22"/>
              </w:rPr>
              <w:t>CMS announced it would exit non-utility renewables development to focus on regulated business.</w:t>
            </w:r>
          </w:p>
        </w:tc>
        <w:tc>
          <w:tcPr>
            <w:tcW w:type="dxa" w:w="2160"/>
          </w:tcPr>
          <w:p>
            <w:r>
              <w:rPr>
                <w:rFonts w:ascii="Calibri" w:hAnsi="Calibri"/>
                <w:sz w:val="22"/>
              </w:rPr>
              <w:t>EIX is already a pure-play regulated utility (SCE). CMS's strategic pivot toward regulated operations validates EIX's business model and the premium investors place on regulatory certainty.</w:t>
            </w:r>
          </w:p>
        </w:tc>
        <w:tc>
          <w:tcPr>
            <w:tcW w:type="dxa" w:w="2160"/>
          </w:tcPr>
          <w:p>
            <w:r>
              <w:rPr>
                <w:rFonts w:ascii="Calibri" w:hAnsi="Calibri"/>
                <w:b/>
                <w:color w:val="30A46C"/>
                <w:sz w:val="22"/>
              </w:rPr>
              <w:t>POSITIVE</w:t>
            </w:r>
          </w:p>
        </w:tc>
      </w:tr>
      <w:tr>
        <w:tc>
          <w:tcPr>
            <w:tcW w:type="dxa" w:w="2160"/>
          </w:tcPr>
          <w:p>
            <w:r>
              <w:rPr>
                <w:rFonts w:ascii="Calibri" w:hAnsi="Calibri"/>
                <w:sz w:val="22"/>
              </w:rPr>
              <w:t>FY 2026 Guidance Reaffirmed</w:t>
            </w:r>
          </w:p>
        </w:tc>
        <w:tc>
          <w:tcPr>
            <w:tcW w:type="dxa" w:w="2160"/>
          </w:tcPr>
          <w:p>
            <w:r>
              <w:rPr>
                <w:rFonts w:ascii="Calibri" w:hAnsi="Calibri"/>
                <w:sz w:val="22"/>
              </w:rPr>
              <w:t>Reaffirmed FY 2026 guidance of $3.83–$3.90 per share.</w:t>
            </w:r>
          </w:p>
        </w:tc>
        <w:tc>
          <w:tcPr>
            <w:tcW w:type="dxa" w:w="2160"/>
          </w:tcPr>
          <w:p>
            <w:r>
              <w:rPr>
                <w:rFonts w:ascii="Calibri" w:hAnsi="Calibri"/>
                <w:sz w:val="22"/>
              </w:rPr>
              <w:t>Sector-wide guidance reaffirmation trend supports EIX's own reaffirmation of $5.90–$6.20 FY 2026 Core EPS.</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8F. GE Vernova (GEV) — Q2 2026 Earnings (July 22, 2026)</w:t>
      </w:r>
    </w:p>
    <w:p>
      <w:r>
        <w:rPr>
          <w:rFonts w:ascii="Calibri" w:hAnsi="Calibri"/>
          <w:b/>
          <w:color w:val="525866"/>
          <w:sz w:val="22"/>
        </w:rPr>
        <w:t xml:space="preserve">Overall Read-Through for EIX: </w:t>
      </w:r>
      <w:r>
        <w:rPr>
          <w:rFonts w:ascii="Calibri" w:hAnsi="Calibri"/>
          <w:b/>
          <w:color w:val="30A46C"/>
          <w:sz w:val="22"/>
        </w:rPr>
        <w:t>POSITIVE</w:t>
      </w:r>
    </w:p>
    <w:p>
      <w:r>
        <w:rPr>
          <w:rFonts w:ascii="Calibri" w:hAnsi="Calibri"/>
          <w:color w:val="525866"/>
          <w:sz w:val="22"/>
        </w:rPr>
        <w:t>GEV reported Q2 2026 with blow-out orders (+88% organic to $24.2B) and raised full-year revenue guidance to $45.5–46.5B (from $44.5–45.5B). Free cash flow surged to $5.1B vs. $1.3B consensus. GEV is EIX's primary equipment supplier for grid modernization and is a leading indicator for utility capex execution.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GEV Commentary</w:t>
            </w:r>
          </w:p>
        </w:tc>
        <w:tc>
          <w:tcPr>
            <w:tcW w:type="dxa" w:w="2160"/>
            <w:shd w:val="clear" w:color="auto" w:fill="3B4259"/>
          </w:tcPr>
          <w:p>
            <w:r>
              <w:rPr>
                <w:rFonts w:ascii="Calibri" w:hAnsi="Calibri"/>
                <w:b/>
                <w:color w:val="FFFFFF"/>
                <w:sz w:val="22"/>
              </w:rPr>
              <w:t>Read-Through for EIX</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Power Equipment Demand</w:t>
            </w:r>
          </w:p>
        </w:tc>
        <w:tc>
          <w:tcPr>
            <w:tcW w:type="dxa" w:w="2160"/>
          </w:tcPr>
          <w:p>
            <w:r>
              <w:rPr>
                <w:rFonts w:ascii="Calibri" w:hAnsi="Calibri"/>
                <w:sz w:val="22"/>
              </w:rPr>
              <w:t>Orders surged 88% organically to $24.2B. Backlog spiked. Revenue guidance raised to $45.5–46.5B. 'Strong power demand accelerating order growth across power and electrification units.'</w:t>
            </w:r>
          </w:p>
        </w:tc>
        <w:tc>
          <w:tcPr>
            <w:tcW w:type="dxa" w:w="2160"/>
          </w:tcPr>
          <w:p>
            <w:r>
              <w:rPr>
                <w:rFonts w:ascii="Calibri" w:hAnsi="Calibri"/>
                <w:sz w:val="22"/>
              </w:rPr>
              <w:t>GEV's order surge confirms that utilities are accelerating grid investment. EIX's $38–41B capex plan through 2030 requires significant equipment procurement. Strong GEV demand validates EIX's investment thesis but also raises supply chain risk.</w:t>
            </w:r>
          </w:p>
        </w:tc>
        <w:tc>
          <w:tcPr>
            <w:tcW w:type="dxa" w:w="2160"/>
          </w:tcPr>
          <w:p>
            <w:r>
              <w:rPr>
                <w:rFonts w:ascii="Calibri" w:hAnsi="Calibri"/>
                <w:b/>
                <w:color w:val="30A46C"/>
                <w:sz w:val="22"/>
              </w:rPr>
              <w:t>POSITIVE</w:t>
            </w:r>
          </w:p>
        </w:tc>
      </w:tr>
      <w:tr>
        <w:tc>
          <w:tcPr>
            <w:tcW w:type="dxa" w:w="2160"/>
          </w:tcPr>
          <w:p>
            <w:r>
              <w:rPr>
                <w:rFonts w:ascii="Calibri" w:hAnsi="Calibri"/>
                <w:sz w:val="22"/>
              </w:rPr>
              <w:t>Supply Chain / Execution Risk</w:t>
            </w:r>
          </w:p>
        </w:tc>
        <w:tc>
          <w:tcPr>
            <w:tcW w:type="dxa" w:w="2160"/>
          </w:tcPr>
          <w:p>
            <w:r>
              <w:rPr>
                <w:rFonts w:ascii="Calibri" w:hAnsi="Calibri"/>
                <w:sz w:val="22"/>
              </w:rPr>
              <w:t>GEV's wind organic revenue 'down in the low double digits.' EBITDA of $1.25B missed $1.29B consensus. Stock fell ~6% on results despite strong orders.</w:t>
            </w:r>
          </w:p>
        </w:tc>
        <w:tc>
          <w:tcPr>
            <w:tcW w:type="dxa" w:w="2160"/>
          </w:tcPr>
          <w:p>
            <w:r>
              <w:rPr>
                <w:rFonts w:ascii="Calibri" w:hAnsi="Calibri"/>
                <w:sz w:val="22"/>
              </w:rPr>
              <w:t>EIX's capex plan includes wildfire mitigation and grid hardening (not wind). However, GEV's margin pressure and wind weakness highlight that supply chain constraints remain a risk for utility capex execution — consistent with EIX's own risk disclosures.</w:t>
            </w:r>
          </w:p>
        </w:tc>
        <w:tc>
          <w:tcPr>
            <w:tcW w:type="dxa" w:w="2160"/>
          </w:tcPr>
          <w:p>
            <w:r>
              <w:rPr>
                <w:rFonts w:ascii="Calibri" w:hAnsi="Calibri"/>
                <w:b/>
                <w:color w:val="002FA7"/>
                <w:sz w:val="22"/>
              </w:rPr>
              <w:t>MIXED</w:t>
            </w:r>
          </w:p>
        </w:tc>
      </w:tr>
    </w:tbl>
    <w:p>
      <w:pPr>
        <w:pStyle w:val="Heading3"/>
      </w:pPr>
      <w:r>
        <w:rPr>
          <w:rFonts w:ascii="Calibri" w:hAnsi="Calibri"/>
          <w:b/>
          <w:color w:val="3B4259"/>
          <w:sz w:val="24"/>
        </w:rPr>
        <w:t>8G. Sector-Wide Macro &amp; Regulatory Themes (Last 60 Days)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 / Event</w:t>
            </w:r>
          </w:p>
        </w:tc>
        <w:tc>
          <w:tcPr>
            <w:tcW w:type="dxa" w:w="2160"/>
            <w:shd w:val="clear" w:color="auto" w:fill="3B4259"/>
          </w:tcPr>
          <w:p>
            <w:r>
              <w:rPr>
                <w:rFonts w:ascii="Calibri" w:hAnsi="Calibri"/>
                <w:b/>
                <w:color w:val="FFFFFF"/>
                <w:sz w:val="22"/>
              </w:rPr>
              <w:t>Development</w:t>
            </w:r>
          </w:p>
        </w:tc>
        <w:tc>
          <w:tcPr>
            <w:tcW w:type="dxa" w:w="2160"/>
            <w:shd w:val="clear" w:color="auto" w:fill="3B4259"/>
          </w:tcPr>
          <w:p>
            <w:r>
              <w:rPr>
                <w:rFonts w:ascii="Calibri" w:hAnsi="Calibri"/>
                <w:b/>
                <w:color w:val="FFFFFF"/>
                <w:sz w:val="22"/>
              </w:rPr>
              <w:t>Read-Through for EIX</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Trump AI/Data Center Pledge (July 21–23)</w:t>
            </w:r>
          </w:p>
        </w:tc>
        <w:tc>
          <w:tcPr>
            <w:tcW w:type="dxa" w:w="2160"/>
          </w:tcPr>
          <w:p>
            <w:r>
              <w:rPr>
                <w:rFonts w:ascii="Calibri" w:hAnsi="Calibri"/>
                <w:sz w:val="22"/>
              </w:rPr>
              <w:t>~200 entities (utilities, tech companies) signed voluntary pledge to shield consumers from higher bills from data center buildouts. Enforcement mechanism unclear.</w:t>
            </w:r>
          </w:p>
        </w:tc>
        <w:tc>
          <w:tcPr>
            <w:tcW w:type="dxa" w:w="2160"/>
          </w:tcPr>
          <w:p>
            <w:r>
              <w:rPr>
                <w:rFonts w:ascii="Calibri" w:hAnsi="Calibri"/>
                <w:sz w:val="22"/>
              </w:rPr>
              <w:t>EIX has committed to rate increases at or below inflation through 2030. The pledge aligns with EIX's affordability narrative and reduces political risk from utility breakup proposals.</w:t>
            </w:r>
          </w:p>
        </w:tc>
        <w:tc>
          <w:tcPr>
            <w:tcW w:type="dxa" w:w="2160"/>
          </w:tcPr>
          <w:p>
            <w:r>
              <w:rPr>
                <w:rFonts w:ascii="Calibri" w:hAnsi="Calibri"/>
                <w:b/>
                <w:color w:val="30A46C"/>
                <w:sz w:val="22"/>
              </w:rPr>
              <w:t>POSITIVE</w:t>
            </w:r>
          </w:p>
        </w:tc>
      </w:tr>
      <w:tr>
        <w:tc>
          <w:tcPr>
            <w:tcW w:type="dxa" w:w="2160"/>
          </w:tcPr>
          <w:p>
            <w:r>
              <w:rPr>
                <w:rFonts w:ascii="Calibri" w:hAnsi="Calibri"/>
                <w:sz w:val="22"/>
              </w:rPr>
              <w:t>Negative Power Prices / Renewable Oversupply (July 27)</w:t>
            </w:r>
          </w:p>
        </w:tc>
        <w:tc>
          <w:tcPr>
            <w:tcW w:type="dxa" w:w="2160"/>
          </w:tcPr>
          <w:p>
            <w:r>
              <w:rPr>
                <w:rFonts w:ascii="Calibri" w:hAnsi="Calibri"/>
                <w:sz w:val="22"/>
              </w:rPr>
              <w:t>Germany saw 573 hours of negative wholesale prices in 2025. California's SP15 hub saw below-zero prices more than double in 2024. Transmission congestion widening gap between headline prices and asset revenues.</w:t>
            </w:r>
          </w:p>
        </w:tc>
        <w:tc>
          <w:tcPr>
            <w:tcW w:type="dxa" w:w="2160"/>
          </w:tcPr>
          <w:p>
            <w:r>
              <w:rPr>
                <w:rFonts w:ascii="Calibri" w:hAnsi="Calibri"/>
                <w:sz w:val="22"/>
              </w:rPr>
              <w:t>EIX is a regulated utility — revenue is set by CPUC rate cases, not wholesale power prices. Negative power prices are largely irrelevant to EIX's earnings model but could affect SCE's purchased power costs.</w:t>
            </w:r>
          </w:p>
        </w:tc>
        <w:tc>
          <w:tcPr>
            <w:tcW w:type="dxa" w:w="2160"/>
          </w:tcPr>
          <w:p>
            <w:r>
              <w:rPr>
                <w:rFonts w:ascii="Calibri" w:hAnsi="Calibri"/>
                <w:b/>
                <w:color w:val="002FA7"/>
                <w:sz w:val="22"/>
              </w:rPr>
              <w:t>NEUTRAL</w:t>
            </w:r>
          </w:p>
        </w:tc>
      </w:tr>
      <w:tr>
        <w:tc>
          <w:tcPr>
            <w:tcW w:type="dxa" w:w="2160"/>
          </w:tcPr>
          <w:p>
            <w:r>
              <w:rPr>
                <w:rFonts w:ascii="Calibri" w:hAnsi="Calibri"/>
                <w:sz w:val="22"/>
              </w:rPr>
              <w:t>Ohio Utility Rate Freeze Proposal (July 28)</w:t>
            </w:r>
          </w:p>
        </w:tc>
        <w:tc>
          <w:tcPr>
            <w:tcW w:type="dxa" w:w="2160"/>
          </w:tcPr>
          <w:p>
            <w:r>
              <w:rPr>
                <w:rFonts w:ascii="Calibri" w:hAnsi="Calibri"/>
                <w:sz w:val="22"/>
              </w:rPr>
              <w:t>Ohio state Rep. introduced bill to freeze utility rate increases for one year. Average low-income household in Ohio spends ~11% of income on utilities. Rate freeze could defer maintenance and impact reliability.</w:t>
            </w:r>
          </w:p>
        </w:tc>
        <w:tc>
          <w:tcPr>
            <w:tcW w:type="dxa" w:w="2160"/>
          </w:tcPr>
          <w:p>
            <w:r>
              <w:rPr>
                <w:rFonts w:ascii="Calibri" w:hAnsi="Calibri"/>
                <w:sz w:val="22"/>
              </w:rPr>
              <w:t>EIX operates in California, not Ohio. However, the political dynamic (affordability pressure leading to rate freeze proposals) is relevant to EIX's own affordability commitments and the risk of California legislative intervention.</w:t>
            </w:r>
          </w:p>
        </w:tc>
        <w:tc>
          <w:tcPr>
            <w:tcW w:type="dxa" w:w="2160"/>
          </w:tcPr>
          <w:p>
            <w:r>
              <w:rPr>
                <w:rFonts w:ascii="Calibri" w:hAnsi="Calibri"/>
                <w:b/>
                <w:color w:val="002FA7"/>
                <w:sz w:val="22"/>
              </w:rPr>
              <w:t>MIXED</w:t>
            </w:r>
          </w:p>
        </w:tc>
      </w:tr>
      <w:tr>
        <w:tc>
          <w:tcPr>
            <w:tcW w:type="dxa" w:w="2160"/>
          </w:tcPr>
          <w:p>
            <w:r>
              <w:rPr>
                <w:rFonts w:ascii="Calibri" w:hAnsi="Calibri"/>
                <w:sz w:val="22"/>
              </w:rPr>
              <w:t>PJM Grid Disturbance / Data Center Risk (July 22–25)</w:t>
            </w:r>
          </w:p>
        </w:tc>
        <w:tc>
          <w:tcPr>
            <w:tcW w:type="dxa" w:w="2160"/>
          </w:tcPr>
          <w:p>
            <w:r>
              <w:rPr>
                <w:rFonts w:ascii="Calibri" w:hAnsi="Calibri"/>
                <w:sz w:val="22"/>
              </w:rPr>
              <w:t>3+ GW of data center load went offline simultaneously on PJM grid, taking 10+ minutes to stabilize. Experts say such events are 'happening more frequently.'</w:t>
            </w:r>
          </w:p>
        </w:tc>
        <w:tc>
          <w:tcPr>
            <w:tcW w:type="dxa" w:w="2160"/>
          </w:tcPr>
          <w:p>
            <w:r>
              <w:rPr>
                <w:rFonts w:ascii="Calibri" w:hAnsi="Calibri"/>
                <w:sz w:val="22"/>
              </w:rPr>
              <w:t>SCE operates on CAISO, not PJM. However, the event highlights grid stability risks from large load concentration — relevant to EIX's own grid hardening investment thesis and PSPS protocols.</w:t>
            </w:r>
          </w:p>
        </w:tc>
        <w:tc>
          <w:tcPr>
            <w:tcW w:type="dxa" w:w="2160"/>
          </w:tcPr>
          <w:p>
            <w:r>
              <w:rPr>
                <w:rFonts w:ascii="Calibri" w:hAnsi="Calibri"/>
                <w:b/>
                <w:color w:val="002FA7"/>
                <w:sz w:val="22"/>
              </w:rPr>
              <w:t>NEUTRAL</w:t>
            </w:r>
          </w:p>
        </w:tc>
      </w:tr>
      <w:tr>
        <w:tc>
          <w:tcPr>
            <w:tcW w:type="dxa" w:w="2160"/>
          </w:tcPr>
          <w:p>
            <w:r>
              <w:rPr>
                <w:rFonts w:ascii="Calibri" w:hAnsi="Calibri"/>
                <w:sz w:val="22"/>
              </w:rPr>
              <w:t>Utility Sector Consolidation Trend (July 17)</w:t>
            </w:r>
          </w:p>
        </w:tc>
        <w:tc>
          <w:tcPr>
            <w:tcW w:type="dxa" w:w="2160"/>
          </w:tcPr>
          <w:p>
            <w:r>
              <w:rPr>
                <w:rFonts w:ascii="Calibri" w:hAnsi="Calibri"/>
                <w:sz w:val="22"/>
              </w:rPr>
              <w:t>Smaller utilities ($5–15B market cap) may consider mergers or PE transactions to access capital for AI-driven grid demands. Scale benefits of consolidation are 'sometimes difficult to demonstrate' in regulated utilities.</w:t>
            </w:r>
          </w:p>
        </w:tc>
        <w:tc>
          <w:tcPr>
            <w:tcW w:type="dxa" w:w="2160"/>
          </w:tcPr>
          <w:p>
            <w:r>
              <w:rPr>
                <w:rFonts w:ascii="Calibri" w:hAnsi="Calibri"/>
                <w:sz w:val="22"/>
              </w:rPr>
              <w:t>EIX (~$30B market cap) is large enough to self-fund its capex plan without equity issuance. Consolidation trend could reduce competition for capital and talent, but EIX is not a consolidation target given its size and California regulatory complexity.</w:t>
            </w:r>
          </w:p>
        </w:tc>
        <w:tc>
          <w:tcPr>
            <w:tcW w:type="dxa" w:w="2160"/>
          </w:tcPr>
          <w:p>
            <w:r>
              <w:rPr>
                <w:rFonts w:ascii="Calibri" w:hAnsi="Calibri"/>
                <w:b/>
                <w:color w:val="002FA7"/>
                <w:sz w:val="22"/>
              </w:rPr>
              <w:t>NEUTRAL</w:t>
            </w:r>
          </w:p>
        </w:tc>
      </w:tr>
    </w:tbl>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 / Theme</w:t>
            </w:r>
          </w:p>
        </w:tc>
        <w:tc>
          <w:tcPr>
            <w:tcW w:type="dxa" w:w="2880"/>
            <w:shd w:val="clear" w:color="auto" w:fill="3B4259"/>
          </w:tcPr>
          <w:p>
            <w:r>
              <w:rPr>
                <w:rFonts w:ascii="Calibri" w:hAnsi="Calibri"/>
                <w:b/>
                <w:color w:val="FFFFFF"/>
                <w:sz w:val="22"/>
              </w:rPr>
              <w:t>Key Takeaway for EIX</w:t>
            </w:r>
          </w:p>
        </w:tc>
        <w:tc>
          <w:tcPr>
            <w:tcW w:type="dxa" w:w="2880"/>
            <w:shd w:val="clear" w:color="auto" w:fill="3B4259"/>
          </w:tcPr>
          <w:p>
            <w:r>
              <w:rPr>
                <w:rFonts w:ascii="Calibri" w:hAnsi="Calibri"/>
                <w:b/>
                <w:color w:val="FFFFFF"/>
                <w:sz w:val="22"/>
              </w:rPr>
              <w:t>Net Signal</w:t>
            </w:r>
          </w:p>
        </w:tc>
      </w:tr>
      <w:tr>
        <w:tc>
          <w:tcPr>
            <w:tcW w:type="dxa" w:w="2880"/>
          </w:tcPr>
          <w:p>
            <w:r>
              <w:rPr>
                <w:rFonts w:ascii="Calibri" w:hAnsi="Calibri"/>
                <w:sz w:val="22"/>
              </w:rPr>
              <w:t>PCG Q2 2026 Beat</w:t>
            </w:r>
          </w:p>
        </w:tc>
        <w:tc>
          <w:tcPr>
            <w:tcW w:type="dxa" w:w="2880"/>
          </w:tcPr>
          <w:p>
            <w:r>
              <w:rPr>
                <w:rFonts w:ascii="Calibri" w:hAnsi="Calibri"/>
                <w:sz w:val="22"/>
              </w:rPr>
              <w:t>GRC rate recovery flowing through as expected; data center pipeline growing; wildfire safety improving; SB 254 is the key binary risk for both names</w:t>
            </w:r>
          </w:p>
        </w:tc>
        <w:tc>
          <w:tcPr>
            <w:tcW w:type="dxa" w:w="2880"/>
          </w:tcPr>
          <w:p>
            <w:r>
              <w:rPr>
                <w:rFonts w:ascii="Calibri" w:hAnsi="Calibri"/>
                <w:b/>
                <w:color w:val="30A46C"/>
                <w:sz w:val="22"/>
              </w:rPr>
              <w:t>POSITIVE</w:t>
            </w:r>
          </w:p>
        </w:tc>
      </w:tr>
      <w:tr>
        <w:tc>
          <w:tcPr>
            <w:tcW w:type="dxa" w:w="2880"/>
          </w:tcPr>
          <w:p>
            <w:r>
              <w:rPr>
                <w:rFonts w:ascii="Calibri" w:hAnsi="Calibri"/>
                <w:sz w:val="22"/>
              </w:rPr>
              <w:t>ETR Q2 2026 Results</w:t>
            </w:r>
          </w:p>
        </w:tc>
        <w:tc>
          <w:tcPr>
            <w:tcW w:type="dxa" w:w="2880"/>
          </w:tcPr>
          <w:p>
            <w:r>
              <w:rPr>
                <w:rFonts w:ascii="Calibri" w:hAnsi="Calibri"/>
                <w:sz w:val="22"/>
              </w:rPr>
              <w:t>10% industrial sales growth; 7–12 GW data center pipeline; guidance affirmed; weather was a modest Q2 headwind</w:t>
            </w:r>
          </w:p>
        </w:tc>
        <w:tc>
          <w:tcPr>
            <w:tcW w:type="dxa" w:w="2880"/>
          </w:tcPr>
          <w:p>
            <w:r>
              <w:rPr>
                <w:rFonts w:ascii="Calibri" w:hAnsi="Calibri"/>
                <w:b/>
                <w:color w:val="30A46C"/>
                <w:sz w:val="22"/>
              </w:rPr>
              <w:t>POSITIVE</w:t>
            </w:r>
          </w:p>
        </w:tc>
      </w:tr>
      <w:tr>
        <w:tc>
          <w:tcPr>
            <w:tcW w:type="dxa" w:w="2880"/>
          </w:tcPr>
          <w:p>
            <w:r>
              <w:rPr>
                <w:rFonts w:ascii="Calibri" w:hAnsi="Calibri"/>
                <w:sz w:val="22"/>
              </w:rPr>
              <w:t>DTE Q2 2026 Results</w:t>
            </w:r>
          </w:p>
        </w:tc>
        <w:tc>
          <w:tcPr>
            <w:tcW w:type="dxa" w:w="2880"/>
          </w:tcPr>
          <w:p>
            <w:r>
              <w:rPr>
                <w:rFonts w:ascii="Calibri" w:hAnsi="Calibri"/>
                <w:sz w:val="22"/>
              </w:rPr>
              <w:t>Data center momentum strong (2.4 GW executed); weather headwinds in Q2; July storm highlighted grid vulnerability; guided to high end of 2026 range</w:t>
            </w:r>
          </w:p>
        </w:tc>
        <w:tc>
          <w:tcPr>
            <w:tcW w:type="dxa" w:w="2880"/>
          </w:tcPr>
          <w:p>
            <w:r>
              <w:rPr>
                <w:rFonts w:ascii="Calibri" w:hAnsi="Calibri"/>
                <w:b/>
                <w:color w:val="002FA7"/>
                <w:sz w:val="22"/>
              </w:rPr>
              <w:t>MIXED</w:t>
            </w:r>
          </w:p>
        </w:tc>
      </w:tr>
      <w:tr>
        <w:tc>
          <w:tcPr>
            <w:tcW w:type="dxa" w:w="2880"/>
          </w:tcPr>
          <w:p>
            <w:r>
              <w:rPr>
                <w:rFonts w:ascii="Calibri" w:hAnsi="Calibri"/>
                <w:sz w:val="22"/>
              </w:rPr>
              <w:t>NEE Q2 2026 Beat + $100B Data Center</w:t>
            </w:r>
          </w:p>
        </w:tc>
        <w:tc>
          <w:tcPr>
            <w:tcW w:type="dxa" w:w="2880"/>
          </w:tcPr>
          <w:p>
            <w:r>
              <w:rPr>
                <w:rFonts w:ascii="Calibri" w:hAnsi="Calibri"/>
                <w:sz w:val="22"/>
              </w:rPr>
              <w:t>Regulated utility beat; renewables backlog at 35.1 GW; $100B data center campus validates secular utility investment thesis</w:t>
            </w:r>
          </w:p>
        </w:tc>
        <w:tc>
          <w:tcPr>
            <w:tcW w:type="dxa" w:w="2880"/>
          </w:tcPr>
          <w:p>
            <w:r>
              <w:rPr>
                <w:rFonts w:ascii="Calibri" w:hAnsi="Calibri"/>
                <w:b/>
                <w:color w:val="30A46C"/>
                <w:sz w:val="22"/>
              </w:rPr>
              <w:t>POSITIVE</w:t>
            </w:r>
          </w:p>
        </w:tc>
      </w:tr>
      <w:tr>
        <w:tc>
          <w:tcPr>
            <w:tcW w:type="dxa" w:w="2880"/>
          </w:tcPr>
          <w:p>
            <w:r>
              <w:rPr>
                <w:rFonts w:ascii="Calibri" w:hAnsi="Calibri"/>
                <w:sz w:val="22"/>
              </w:rPr>
              <w:t>CMS Q2 2026 Results</w:t>
            </w:r>
          </w:p>
        </w:tc>
        <w:tc>
          <w:tcPr>
            <w:tcW w:type="dxa" w:w="2880"/>
          </w:tcPr>
          <w:p>
            <w:r>
              <w:rPr>
                <w:rFonts w:ascii="Calibri" w:hAnsi="Calibri"/>
                <w:sz w:val="22"/>
              </w:rPr>
              <w:t>Narrow Q2 beat; 2027 guidance below consensus; exit non-utility renewables validates pure-play regulated model</w:t>
            </w:r>
          </w:p>
        </w:tc>
        <w:tc>
          <w:tcPr>
            <w:tcW w:type="dxa" w:w="2880"/>
          </w:tcPr>
          <w:p>
            <w:r>
              <w:rPr>
                <w:rFonts w:ascii="Calibri" w:hAnsi="Calibri"/>
                <w:b/>
                <w:color w:val="002FA7"/>
                <w:sz w:val="22"/>
              </w:rPr>
              <w:t>MIXED</w:t>
            </w:r>
          </w:p>
        </w:tc>
      </w:tr>
      <w:tr>
        <w:tc>
          <w:tcPr>
            <w:tcW w:type="dxa" w:w="2880"/>
          </w:tcPr>
          <w:p>
            <w:r>
              <w:rPr>
                <w:rFonts w:ascii="Calibri" w:hAnsi="Calibri"/>
                <w:sz w:val="22"/>
              </w:rPr>
              <w:t>GEV Q2 2026 Results</w:t>
            </w:r>
          </w:p>
        </w:tc>
        <w:tc>
          <w:tcPr>
            <w:tcW w:type="dxa" w:w="2880"/>
          </w:tcPr>
          <w:p>
            <w:r>
              <w:rPr>
                <w:rFonts w:ascii="Calibri" w:hAnsi="Calibri"/>
                <w:sz w:val="22"/>
              </w:rPr>
              <w:t>Blow-out orders (+88%) validate utility capex acceleration; supply chain constraints remain a risk for execution</w:t>
            </w:r>
          </w:p>
        </w:tc>
        <w:tc>
          <w:tcPr>
            <w:tcW w:type="dxa" w:w="2880"/>
          </w:tcPr>
          <w:p>
            <w:r>
              <w:rPr>
                <w:rFonts w:ascii="Calibri" w:hAnsi="Calibri"/>
                <w:b/>
                <w:color w:val="30A46C"/>
                <w:sz w:val="22"/>
              </w:rPr>
              <w:t>POSITIVE</w:t>
            </w:r>
          </w:p>
        </w:tc>
      </w:tr>
      <w:tr>
        <w:tc>
          <w:tcPr>
            <w:tcW w:type="dxa" w:w="2880"/>
          </w:tcPr>
          <w:p>
            <w:r>
              <w:rPr>
                <w:rFonts w:ascii="Calibri" w:hAnsi="Calibri"/>
                <w:sz w:val="22"/>
              </w:rPr>
              <w:t>SB 254 / Wildfire Legislation</w:t>
            </w:r>
          </w:p>
        </w:tc>
        <w:tc>
          <w:tcPr>
            <w:tcW w:type="dxa" w:w="2880"/>
          </w:tcPr>
          <w:p>
            <w:r>
              <w:rPr>
                <w:rFonts w:ascii="Calibri" w:hAnsi="Calibri"/>
                <w:sz w:val="22"/>
              </w:rPr>
              <w:t>PCG confirmed policymakers recognize need for solution; legislative session ends August 31; inaction would slow credit improvement for both PCG and EIX</w:t>
            </w:r>
          </w:p>
        </w:tc>
        <w:tc>
          <w:tcPr>
            <w:tcW w:type="dxa" w:w="2880"/>
          </w:tcPr>
          <w:p>
            <w:r>
              <w:rPr>
                <w:rFonts w:ascii="Calibri" w:hAnsi="Calibri"/>
                <w:b/>
                <w:color w:val="002FA7"/>
                <w:sz w:val="22"/>
              </w:rPr>
              <w:t>MIXED</w:t>
            </w:r>
          </w:p>
        </w:tc>
      </w:tr>
      <w:tr>
        <w:tc>
          <w:tcPr>
            <w:tcW w:type="dxa" w:w="2880"/>
          </w:tcPr>
          <w:p>
            <w:r>
              <w:rPr>
                <w:rFonts w:ascii="Calibri" w:hAnsi="Calibri"/>
                <w:sz w:val="22"/>
              </w:rPr>
              <w:t>Trump AI/Data Center Pledge</w:t>
            </w:r>
          </w:p>
        </w:tc>
        <w:tc>
          <w:tcPr>
            <w:tcW w:type="dxa" w:w="2880"/>
          </w:tcPr>
          <w:p>
            <w:r>
              <w:rPr>
                <w:rFonts w:ascii="Calibri" w:hAnsi="Calibri"/>
                <w:sz w:val="22"/>
              </w:rPr>
              <w:t>Aligns with EIX's affordability commitment; reduces political risk from utility breakup proposals; enforcement unclear</w:t>
            </w:r>
          </w:p>
        </w:tc>
        <w:tc>
          <w:tcPr>
            <w:tcW w:type="dxa" w:w="2880"/>
          </w:tcPr>
          <w:p>
            <w:r>
              <w:rPr>
                <w:rFonts w:ascii="Calibri" w:hAnsi="Calibri"/>
                <w:b/>
                <w:color w:val="30A46C"/>
                <w:sz w:val="22"/>
              </w:rPr>
              <w:t>POSITIVE</w:t>
            </w:r>
          </w:p>
        </w:tc>
      </w:tr>
      <w:tr>
        <w:tc>
          <w:tcPr>
            <w:tcW w:type="dxa" w:w="2880"/>
          </w:tcPr>
          <w:p>
            <w:r>
              <w:rPr>
                <w:rFonts w:ascii="Calibri" w:hAnsi="Calibri"/>
                <w:sz w:val="22"/>
              </w:rPr>
              <w:t>Weather / Grid Stability Risks</w:t>
            </w:r>
          </w:p>
        </w:tc>
        <w:tc>
          <w:tcPr>
            <w:tcW w:type="dxa" w:w="2880"/>
          </w:tcPr>
          <w:p>
            <w:r>
              <w:rPr>
                <w:rFonts w:ascii="Calibri" w:hAnsi="Calibri"/>
                <w:sz w:val="22"/>
              </w:rPr>
              <w:t>DTE and ETR both cited weather headwinds in Q2; PJM grid disturbance highlights large-load risks; California wildfire season ongoing</w:t>
            </w:r>
          </w:p>
        </w:tc>
        <w:tc>
          <w:tcPr>
            <w:tcW w:type="dxa" w:w="2880"/>
          </w:tcPr>
          <w:p>
            <w:r>
              <w:rPr>
                <w:rFonts w:ascii="Calibri" w:hAnsi="Calibri"/>
                <w:b/>
                <w:color w:val="E5484D"/>
                <w:sz w:val="22"/>
              </w:rPr>
              <w:t>NEGATIVE</w:t>
            </w:r>
          </w:p>
        </w:tc>
      </w:tr>
    </w:tbl>
    <w:p>
      <w:r>
        <w:rPr>
          <w:rFonts w:ascii="Calibri" w:hAnsi="Calibri"/>
          <w:b/>
          <w:color w:val="525866"/>
          <w:sz w:val="22"/>
        </w:rPr>
        <w:t xml:space="preserve">Overall Peer Read-Through Assessment: </w:t>
      </w:r>
      <w:r>
        <w:rPr>
          <w:rFonts w:ascii="Calibri" w:hAnsi="Calibri"/>
          <w:color w:val="525866"/>
          <w:sz w:val="22"/>
        </w:rPr>
        <w:t xml:space="preserve">The weight of peer evidence heading into EIX's Q2 2026 print is </w:t>
      </w:r>
      <w:r>
        <w:rPr>
          <w:rFonts w:ascii="Calibri" w:hAnsi="Calibri"/>
          <w:b/>
          <w:color w:val="30A46C"/>
          <w:sz w:val="22"/>
        </w:rPr>
        <w:t>net positive</w:t>
      </w:r>
      <w:r>
        <w:rPr>
          <w:rFonts w:ascii="Calibri" w:hAnsi="Calibri"/>
          <w:color w:val="525866"/>
          <w:sz w:val="22"/>
        </w:rPr>
        <w:t>. PCG's Q2 beat is the most directly relevant data point — it confirms that California IOU GRC rate recovery is flowing through as expected, data center demand is accelerating, and wildfire safety investments are reducing ignition risk. The sector-wide guidance affirmation trend (NEE, ETR, DTE all guiding to high end of ranges) supports EIX's own reaffirmation of $5.90–$6.20 FY 2026 Core EPS. The primary risks are weather headwinds (DTE and ETR both cited cooler Q2 weather) and the SB 254 binary — which PCG explicitly flagged as the catalyst for credit improvement or deterioration. EIX's Q2 print is likely to be in line to slightly above consensus on Core EPS, with the stock reaction driven more by wildfire liability commentary and SB 254 legislative update than by the reported numbers.</w:t>
      </w:r>
    </w:p>
    <w:p>
      <w:r>
        <w:rPr>
          <w:rFonts w:ascii="Calibri" w:hAnsi="Calibri"/>
          <w:i/>
          <w:color w:val="525866"/>
          <w:sz w:val="22"/>
        </w:rPr>
        <w:t>Sources: PCG Q2 2026 Earnings Call Transcript (July 23, 2026); ETR Q2 2026 Earnings Call Transcript (July 29, 2026); DTE Q2 2026 Earnings Call Transcript (July 28, 2026); NEE Q2 2026 Earnings Release (July 24, 2026); CMS Q2 2026 Earnings Release (July 28, 2026); GEV Q2 2026 Earnings Release (July 22, 2026); Daily News Digests (Utilities sector, May–July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