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EMCOR Group (EME) before writing the preview. Let me start by gathering recent filings, transcripts, and news.Let me read the most recent earnings materials and the year-ago quarter for comparison.Let me get the year-ago Q2 figures for comparison and recent stock price/news.Let me check for any recent news driving the sharp pre-earnings selloff.# EMCOR Group (EME)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Thursday, July 30, 2026 (before market open; call at 10:30 a.m. ET) ·</w:t>
      </w:r>
      <w:r>
        <w:t xml:space="preserve"> </w:t>
      </w:r>
      <w:r>
        <w:rPr>
          <w:b/>
          <w:bCs/>
        </w:rPr>
        <w:t xml:space="preserve">Quarter:</w:t>
      </w:r>
      <w:r>
        <w:t xml:space="preserve"> </w:t>
      </w:r>
      <w:r>
        <w:t xml:space="preserve">2026Q2 (three months ended June 30, 2026)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EMCOR has been on a remarkable run — record revenue, record margins, and record backlog every quarter — driven overwhelmingly by the AI/data-center construction wave. But the stock is heading into this print</w:t>
      </w:r>
      <w:r>
        <w:t xml:space="preserve"> </w:t>
      </w:r>
      <w:r>
        <w:rPr>
          <w:b/>
          <w:bCs/>
        </w:rPr>
        <w:t xml:space="preserve">down ~27% from its early-May high</w:t>
      </w:r>
      <w:r>
        <w:t xml:space="preserve"> </w:t>
      </w:r>
      <w:r>
        <w:t xml:space="preserve">and off sharply in the last week, so the market's bar is really about</w:t>
      </w:r>
      <w:r>
        <w:t xml:space="preserve"> </w:t>
      </w:r>
      <w:r>
        <w:rPr>
          <w:i/>
          <w:iCs/>
        </w:rPr>
        <w:t xml:space="preserve">sustainability of demand and margins</w:t>
      </w:r>
      <w:r>
        <w:t xml:space="preserve">, not the headline beat, which is nearly a foregone conclusion.</w:t>
      </w:r>
    </w:p>
    <w:p>
      <w:r>
        <w:pict>
          <v:rect style="width:0;height:1.5pt" o:hralign="center" o:hrstd="t" o:hr="t"/>
        </w:pict>
      </w:r>
    </w:p>
    <w:bookmarkEnd w:id="9"/>
    <w:bookmarkStart w:id="10" w:name="where-the-stock-sits-going-in"/>
    <w:p>
      <w:pPr>
        <w:pStyle w:val="Heading2"/>
      </w:pPr>
      <w:r>
        <w:t xml:space="preserve">Where the stock sits going in</w:t>
      </w:r>
    </w:p>
    <w:p>
      <w:pPr>
        <w:pStyle w:val="Compact"/>
        <w:numPr>
          <w:ilvl w:val="0"/>
          <w:numId w:val="1001"/>
        </w:numPr>
      </w:pPr>
      <w:r>
        <w:t xml:space="preserve">EME closed at</w:t>
      </w:r>
      <w:r>
        <w:t xml:space="preserve"> </w:t>
      </w:r>
      <w:r>
        <w:rPr>
          <w:b/>
          <w:bCs/>
        </w:rPr>
        <w:t xml:space="preserve">~</w:t>
      </w:r>
      <m:oMath>
        <m:r>
          <m:t>684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29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944 peak on 5/6/26</w:t>
      </w:r>
      <w:r>
        <w:t xml:space="preserve"> </w:t>
      </w:r>
      <w:r>
        <w:t xml:space="preserve">(about</w:t>
      </w:r>
      <w:r>
        <w:t xml:space="preserve"> </w:t>
      </w:r>
      <w:r>
        <w:rPr>
          <w:b/>
          <w:bCs/>
        </w:rPr>
        <w:t xml:space="preserve">-27%</w:t>
      </w:r>
      <w:r>
        <w:t xml:space="preserve">) and roughly flat-to-up ~7% YTD (started the year near $639).</w:t>
      </w:r>
    </w:p>
    <w:p>
      <w:pPr>
        <w:pStyle w:val="Compact"/>
        <w:numPr>
          <w:ilvl w:val="0"/>
          <w:numId w:val="1001"/>
        </w:numPr>
      </w:pPr>
      <w:r>
        <w:t xml:space="preserve">The slide has been steep and recent: the stock fell from ~</w:t>
      </w:r>
      <m:oMath>
        <m:r>
          <m:t>769</m:t>
        </m:r>
        <m:r>
          <m:rPr>
            <m:sty m:val="p"/>
          </m:rPr>
          <m:t>(</m:t>
        </m:r>
        <m:r>
          <m:t>7</m:t>
        </m:r>
        <m:r>
          <m:rPr>
            <m:sty m:val="p"/>
          </m:rPr>
          <m:t>/</m:t>
        </m:r>
        <m:r>
          <m:t>23</m:t>
        </m:r>
        <m:r>
          <m:rPr>
            <m:sty m:val="p"/>
          </m:rPr>
          <m:t>)</m:t>
        </m:r>
        <m:r>
          <m:t>t</m:t>
        </m:r>
        <m:r>
          <m:t>o</m:t>
        </m:r>
        <m:r>
          <m:t> </m:t>
        </m:r>
      </m:oMath>
      <w:r>
        <w:t xml:space="preserve">684 (7/29) — an **~11% drop in the week into the print**.</w:t>
      </w:r>
    </w:p>
    <w:p>
      <w:pPr>
        <w:pStyle w:val="Compact"/>
        <w:numPr>
          <w:ilvl w:val="0"/>
          <w:numId w:val="1001"/>
        </w:numPr>
      </w:pPr>
      <w:r>
        <w:t xml:space="preserve">Context matters: this coincides with a broad</w:t>
      </w:r>
      <w:r>
        <w:t xml:space="preserve"> </w:t>
      </w:r>
      <w:r>
        <w:rPr>
          <w:b/>
          <w:bCs/>
        </w:rPr>
        <w:t xml:space="preserve">AI-infrastructure risk-off move</w:t>
      </w:r>
      <w:r>
        <w:t xml:space="preserve"> </w:t>
      </w:r>
      <w:r>
        <w:t xml:space="preserve">— an SK Hynix rout, nervousness about hyperscaler (Microsoft/Meta) 2027 capex guidance, and a</w:t>
      </w:r>
      <w:r>
        <w:t xml:space="preserve"> </w:t>
      </w:r>
      <w:r>
        <w:rPr>
          <w:b/>
          <w:bCs/>
        </w:rPr>
        <w:t xml:space="preserve">data-center peer, Vertiv, reporting a Q2 revenue miss</w:t>
      </w:r>
      <w:r>
        <w:t xml:space="preserve"> </w:t>
      </w:r>
      <w:r>
        <w:t xml:space="preserve">(organic growth 18% vs. ~25% expected) even while beating on margin. Since EME's growth story is now tightly linked to data-center capex sentiment, its multiple has been de-rating with the group.</w:t>
      </w:r>
    </w:p>
    <w:p>
      <w:pPr>
        <w:pStyle w:val="FirstParagraph"/>
      </w:pPr>
      <w:r>
        <w:rPr>
          <w:b/>
          <w:bCs/>
        </w:rPr>
        <w:t xml:space="preserve">Implication:</w:t>
      </w:r>
      <w:r>
        <w:t xml:space="preserve"> </w:t>
      </w:r>
      <w:r>
        <w:t xml:space="preserve">Even a strong quarter may not be enough; investors will be laser-focused on</w:t>
      </w:r>
      <w:r>
        <w:t xml:space="preserve"> </w:t>
      </w:r>
      <w:r>
        <w:rPr>
          <w:i/>
          <w:iCs/>
        </w:rPr>
        <w:t xml:space="preserve">forward</w:t>
      </w:r>
      <w:r>
        <w:t xml:space="preserve"> </w:t>
      </w:r>
      <w:r>
        <w:t xml:space="preserve">signals (bookings, RPO trajectory, guidance) to judge whether the AI build-out narrative is intact or peaking.</w:t>
      </w:r>
    </w:p>
    <w:p>
      <w:r>
        <w:pict>
          <v:rect style="width:0;height:1.5pt" o:hralign="center" o:hrstd="t" o:hr="t"/>
        </w:pict>
      </w:r>
    </w:p>
    <w:bookmarkEnd w:id="10"/>
    <w:bookmarkStart w:id="11" w:name="X7a806756f23b01c0ead1051dd1e58e544e3ab8f"/>
    <w:p>
      <w:pPr>
        <w:pStyle w:val="Heading2"/>
      </w:pPr>
      <w:r>
        <w:t xml:space="preserve">What just happened last quarter (Q1 2026, the momentum baseline)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 $4.63B, +19.7% (+16.8% organic)</w:t>
      </w:r>
      <w:r>
        <w:t xml:space="preserve"> </w:t>
      </w:r>
      <w:r>
        <w:t xml:space="preserve">— a quarterly record.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Diluted EPS $6.84, +30% YoY</w:t>
      </w:r>
      <w:r>
        <w:t xml:space="preserve">; operating income $404M at an</w:t>
      </w:r>
      <w:r>
        <w:t xml:space="preserve"> </w:t>
      </w:r>
      <w:r>
        <w:rPr>
          <w:b/>
          <w:bCs/>
        </w:rPr>
        <w:t xml:space="preserve">8.7% margin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RPOs a record $15.62B, +32.9% YoY and +17.9% sequentially</w:t>
      </w:r>
      <w:r>
        <w:t xml:space="preserve"> </w:t>
      </w:r>
      <w:r>
        <w:t xml:space="preserve">— implying a book-to-bill of roughly 1.5x, a record.</w:t>
      </w:r>
    </w:p>
    <w:p>
      <w:pPr>
        <w:pStyle w:val="Compact"/>
        <w:numPr>
          <w:ilvl w:val="0"/>
          <w:numId w:val="1002"/>
        </w:numPr>
      </w:pPr>
      <w:r>
        <w:t xml:space="preserve">Construction segments carried the quarter:</w:t>
      </w:r>
      <w:r>
        <w:t xml:space="preserve"> </w:t>
      </w:r>
      <w:r>
        <w:rPr>
          <w:b/>
          <w:bCs/>
        </w:rPr>
        <w:t xml:space="preserve">Electrical +33% revenue</w:t>
      </w:r>
      <w:r>
        <w:t xml:space="preserve"> </w:t>
      </w:r>
      <w:r>
        <w:t xml:space="preserve">(network &amp; communications up ~50%),</w:t>
      </w:r>
      <w:r>
        <w:t xml:space="preserve"> </w:t>
      </w:r>
      <w:r>
        <w:rPr>
          <w:b/>
          <w:bCs/>
        </w:rPr>
        <w:t xml:space="preserve">Mechanical +29%</w:t>
      </w:r>
      <w:r>
        <w:t xml:space="preserve"> </w:t>
      </w:r>
      <w:r>
        <w:t xml:space="preserve">(network &amp; communications up ~86%, driven by liquid cooling for AI data centers).</w:t>
      </w:r>
    </w:p>
    <w:p>
      <w:pPr>
        <w:pStyle w:val="Compact"/>
        <w:numPr>
          <w:ilvl w:val="0"/>
          <w:numId w:val="1002"/>
        </w:numPr>
      </w:pPr>
      <w:r>
        <w:t xml:space="preserve">Management</w:t>
      </w:r>
      <w:r>
        <w:t xml:space="preserve"> </w:t>
      </w:r>
      <w:r>
        <w:rPr>
          <w:b/>
          <w:bCs/>
        </w:rPr>
        <w:t xml:space="preserve">raised FY26 guidance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revenue $18.50–19.25B</w:t>
      </w:r>
      <w:r>
        <w:t xml:space="preserve"> </w:t>
      </w:r>
      <w:r>
        <w:t xml:space="preserve">(from $17.75–18.50B) and</w:t>
      </w:r>
      <w:r>
        <w:t xml:space="preserve"> </w:t>
      </w:r>
      <w:r>
        <w:rPr>
          <w:b/>
          <w:bCs/>
        </w:rPr>
        <w:t xml:space="preserve">EPS $28.25–29.75</w:t>
      </w:r>
      <w:r>
        <w:t xml:space="preserve"> </w:t>
      </w:r>
      <w:r>
        <w:t xml:space="preserve">(from $27.25–29.25), holding the</w:t>
      </w:r>
      <w:r>
        <w:t xml:space="preserve"> </w:t>
      </w:r>
      <w:r>
        <w:rPr>
          <w:b/>
          <w:bCs/>
        </w:rPr>
        <w:t xml:space="preserve">operating-margin range at 9.0–9.4%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Start w:id="12" w:name="the-tough-comparison-year-ago-q2-2025"/>
    <w:p>
      <w:pPr>
        <w:pStyle w:val="Heading2"/>
      </w:pPr>
      <w:r>
        <w:t xml:space="preserve">The tough comparison (year-ago Q2 2025)</w:t>
      </w:r>
    </w:p>
    <w:p>
      <w:pPr>
        <w:pStyle w:val="FirstParagraph"/>
      </w:pPr>
      <w:r>
        <w:t xml:space="preserve">This is the single most important framing item.</w:t>
      </w:r>
      <w:r>
        <w:t xml:space="preserve"> </w:t>
      </w:r>
      <w:r>
        <w:rPr>
          <w:b/>
          <w:bCs/>
        </w:rPr>
        <w:t xml:space="preserve">Q2 2025 was an exceptionally strong quarter</w:t>
      </w:r>
      <w:r>
        <w:t xml:space="preserve"> </w:t>
      </w:r>
      <w:r>
        <w:t xml:space="preserve">and a hard comp:</w:t>
      </w:r>
    </w:p>
    <w:p>
      <w:pPr>
        <w:pStyle w:val="Compact"/>
        <w:numPr>
          <w:ilvl w:val="0"/>
          <w:numId w:val="1003"/>
        </w:numPr>
      </w:pPr>
      <w:r>
        <w:t xml:space="preserve">Revenue</w:t>
      </w:r>
      <w:r>
        <w:t xml:space="preserve"> </w:t>
      </w:r>
      <w:r>
        <w:rPr>
          <w:b/>
          <w:bCs/>
        </w:rPr>
        <w:t xml:space="preserve">$4.30B (+17.4%)</w:t>
      </w:r>
      <w:r>
        <w:t xml:space="preserve">, diluted</w:t>
      </w:r>
      <w:r>
        <w:t xml:space="preserve"> </w:t>
      </w:r>
      <w:r>
        <w:rPr>
          <w:b/>
          <w:bCs/>
        </w:rPr>
        <w:t xml:space="preserve">EPS $6.72 (+28%)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Operating margin of 9.6%</w:t>
      </w:r>
      <w:r>
        <w:t xml:space="preserve"> </w:t>
      </w:r>
      <w:r>
        <w:t xml:space="preserve">— a Q2 record — with</w:t>
      </w:r>
      <w:r>
        <w:t xml:space="preserve"> </w:t>
      </w:r>
      <w:r>
        <w:rPr>
          <w:b/>
          <w:bCs/>
        </w:rPr>
        <w:t xml:space="preserve">Mechanical at a record 13.6%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Electrical at 11.8%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RPOs then were</w:t>
      </w:r>
      <w:r>
        <w:t xml:space="preserve"> </w:t>
      </w:r>
      <m:oMath>
        <m:r>
          <m:t>11.91</m:t>
        </m:r>
        <m:r>
          <m:t>B</m:t>
        </m:r>
        <m:r>
          <m:rPr>
            <m:sty m:val="p"/>
          </m:rPr>
          <m:t>(</m:t>
        </m:r>
        <m:r>
          <m:t>s</m:t>
        </m:r>
        <m:r>
          <m:t>o</m:t>
        </m:r>
        <m:r>
          <m:t>t</m:t>
        </m:r>
        <m:r>
          <m:t>h</m:t>
        </m:r>
        <m:r>
          <m:t>i</m:t>
        </m:r>
        <m:r>
          <m:t>s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 </m:t>
        </m:r>
      </m:oMath>
      <w:r>
        <w:t xml:space="preserve">15.6B+ base is up ~30%+ YoY).</w:t>
      </w:r>
    </w:p>
    <w:p>
      <w:pPr>
        <w:pStyle w:val="FirstParagraph"/>
      </w:pPr>
      <w:r>
        <w:t xml:space="preserve">So while revenue growth should stay strong (a ~18–20% YoY pace off</w:t>
      </w:r>
      <w:r>
        <w:t xml:space="preserve"> </w:t>
      </w:r>
      <m:oMath>
        <m:r>
          <m:t>4.30</m:t>
        </m:r>
        <m:r>
          <m:t>B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s</m:t>
        </m:r>
        <m:r>
          <m:t>t</m:t>
        </m:r>
        <m:r>
          <m:t>o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5.0–5.2B**), the</w:t>
      </w:r>
      <w:r>
        <w:t xml:space="preserve"> </w:t>
      </w:r>
      <w:r>
        <w:rPr>
          <w:b/>
          <w:bCs/>
        </w:rPr>
        <w:t xml:space="preserve">margin comparison is demanding</w:t>
      </w:r>
      <w:r>
        <w:t xml:space="preserve"> </w:t>
      </w:r>
      <w:r>
        <w:t xml:space="preserve">— EME is lapping its best-ever Q2 profitability.</w:t>
      </w:r>
    </w:p>
    <w:p>
      <w:r>
        <w:pict>
          <v:rect style="width:0;height:1.5pt" o:hralign="center" o:hrstd="t" o:hr="t"/>
        </w:pict>
      </w:r>
    </w:p>
    <w:bookmarkEnd w:id="12"/>
    <w:bookmarkStart w:id="18" w:name="X8a6e071581cbb1486543ea07906576827428eb0"/>
    <w:p>
      <w:pPr>
        <w:pStyle w:val="Heading2"/>
      </w:pPr>
      <w:r>
        <w:t xml:space="preserve">What to watch — the five things that matter</w:t>
      </w:r>
    </w:p>
    <w:bookmarkStart w:id="13" w:name="Xbec983859ab4c4f6ba96a26d176a27c600806da"/>
    <w:p>
      <w:pPr>
        <w:pStyle w:val="Heading3"/>
      </w:pPr>
      <w:r>
        <w:t xml:space="preserve">1. Bookings &amp; RPO trajectory (the tell on AI demand)</w:t>
      </w:r>
    </w:p>
    <w:p>
      <w:pPr>
        <w:pStyle w:val="FirstParagraph"/>
      </w:pPr>
      <w:r>
        <w:t xml:space="preserve">After a record ~1.5x book-to-bill and</w:t>
      </w:r>
      <w:r>
        <w:t xml:space="preserve"> </w:t>
      </w:r>
      <m:oMath>
        <m:r>
          <m:t>15.62</m:t>
        </m:r>
        <m:r>
          <m:t>B</m:t>
        </m:r>
        <m:r>
          <m:t>R</m:t>
        </m:r>
        <m:r>
          <m:t>P</m:t>
        </m:r>
        <m:r>
          <m:t>O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k</m:t>
        </m:r>
        <m:r>
          <m:t>e</m:t>
        </m:r>
        <m:r>
          <m:t>y</m:t>
        </m:r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s</m:t>
        </m:r>
        <m:r>
          <m:t>w</m:t>
        </m:r>
        <m:r>
          <m:t>h</m:t>
        </m:r>
        <m:r>
          <m:t>e</m:t>
        </m:r>
        <m:r>
          <m:t>t</m:t>
        </m:r>
        <m:r>
          <m:t>h</m:t>
        </m:r>
        <m:r>
          <m:t>e</m:t>
        </m:r>
        <m:r>
          <m:t>r</m:t>
        </m:r>
        <m:r>
          <m:t>b</m:t>
        </m:r>
        <m:r>
          <m:t>a</m:t>
        </m:r>
        <m:r>
          <m:t>c</m:t>
        </m:r>
        <m:r>
          <m:t>k</m:t>
        </m:r>
        <m:r>
          <m:t>l</m:t>
        </m:r>
        <m:r>
          <m:t>o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h</m:t>
        </m:r>
        <m:r>
          <m:t>o</m:t>
        </m:r>
        <m:r>
          <m:t>l</m:t>
        </m:r>
        <m:r>
          <m:t>d</m:t>
        </m:r>
        <m:r>
          <m:t>s</m:t>
        </m:r>
        <m:r>
          <m:t>a</m:t>
        </m:r>
        <m:r>
          <m:t>b</m:t>
        </m:r>
        <m:r>
          <m:t>o</m:t>
        </m:r>
        <m:r>
          <m:t>v</m:t>
        </m:r>
        <m:r>
          <m:t>e</m:t>
        </m:r>
        <m:r>
          <m:t> </m:t>
        </m:r>
      </m:oMath>
      <w:r>
        <w:t xml:space="preserve">15.6B and keeps growing**. Management said it sees</w:t>
      </w:r>
      <w:r>
        <w:t xml:space="preserve"> </w:t>
      </w:r>
      <w:r>
        <w:rPr>
          <w:b/>
          <w:bCs/>
        </w:rPr>
        <w:t xml:space="preserve">"no sign of slowing demand"</w:t>
      </w:r>
      <w:r>
        <w:t xml:space="preserve"> </w:t>
      </w:r>
      <w:r>
        <w:t xml:space="preserve">in data centers and needs to book only ~</w:t>
      </w:r>
      <w:r>
        <w:rPr>
          <w:b/>
          <w:bCs/>
        </w:rPr>
        <w:t xml:space="preserve">30% of its remaining full-year revenue</w:t>
      </w:r>
      <w:r>
        <w:t xml:space="preserve"> </w:t>
      </w:r>
      <w:r>
        <w:t xml:space="preserve">(vs. 40–45% earlier). Any sequential RPO decline — or even a flat print — would likely be read harshly given the jittery AI backdrop. Watch also the</w:t>
      </w:r>
      <w:r>
        <w:t xml:space="preserve"> </w:t>
      </w:r>
      <w:r>
        <w:rPr>
          <w:b/>
          <w:bCs/>
        </w:rPr>
        <w:t xml:space="preserve">quality/diversity</w:t>
      </w:r>
      <w:r>
        <w:t xml:space="preserve"> </w:t>
      </w:r>
      <w:r>
        <w:t xml:space="preserve">of orders: water &amp; wastewater (Florida), institutional (universities/labs), and healthcare have been surprising to the upside and diversify the story away from pure data-center reliance.</w:t>
      </w:r>
    </w:p>
    <w:bookmarkEnd w:id="13"/>
    <w:bookmarkStart w:id="14" w:name="Xed4f74f9b29cd7539ad22a296779a0a37e5f2b2"/>
    <w:p>
      <w:pPr>
        <w:pStyle w:val="Heading3"/>
      </w:pPr>
      <w:r>
        <w:t xml:space="preserve">2. Another guidance raise — how big?</w:t>
      </w:r>
    </w:p>
    <w:p>
      <w:pPr>
        <w:pStyle w:val="FirstParagraph"/>
      </w:pPr>
      <w:r>
        <w:t xml:space="preserve">EME has raised guidance at essentially every recent print, and the setup favors it again: Q1 organic growth (~17%) is running well ahead of the full-year implied ~9–13%, which management openly framed as conservative "because we just started the year." Look for the</w:t>
      </w:r>
      <w:r>
        <w:t xml:space="preserve"> </w:t>
      </w:r>
      <w:r>
        <w:rPr>
          <w:b/>
          <w:bCs/>
        </w:rPr>
        <w:t xml:space="preserve">revenue range to move up</w:t>
      </w:r>
      <w:r>
        <w:t xml:space="preserve"> </w:t>
      </w:r>
      <w:r>
        <w:t xml:space="preserve">(a $19B+ floor would be a strong signal) and</w:t>
      </w:r>
      <w:r>
        <w:t xml:space="preserve"> </w:t>
      </w:r>
      <w:r>
        <w:rPr>
          <w:b/>
          <w:bCs/>
        </w:rPr>
        <w:t xml:space="preserve">EPS to follow</w:t>
      </w:r>
      <w:r>
        <w:t xml:space="preserve">. The tension: management deliberately keeps guidance conservative pending H2 project mobilization, so a</w:t>
      </w:r>
      <w:r>
        <w:t xml:space="preserve"> </w:t>
      </w:r>
      <w:r>
        <w:rPr>
          <w:i/>
          <w:iCs/>
        </w:rPr>
        <w:t xml:space="preserve">smaller-than-hoped</w:t>
      </w:r>
      <w:r>
        <w:t xml:space="preserve"> </w:t>
      </w:r>
      <w:r>
        <w:t xml:space="preserve">raise could disappoint an audience primed for blowouts.</w:t>
      </w:r>
    </w:p>
    <w:bookmarkEnd w:id="14"/>
    <w:bookmarkStart w:id="15" w:name="X370d3bc55f0b4e17a70fb4e6c0dc03a32d19b0c"/>
    <w:p>
      <w:pPr>
        <w:pStyle w:val="Heading3"/>
      </w:pPr>
      <w:r>
        <w:t xml:space="preserve">3. Mechanical margin mix (GMP / cost-plus shift)</w:t>
      </w:r>
    </w:p>
    <w:p>
      <w:pPr>
        <w:pStyle w:val="FirstParagraph"/>
      </w:pPr>
      <w:r>
        <w:t xml:space="preserve">This was the main "yellow flag" last quarter.</w:t>
      </w:r>
      <w:r>
        <w:t xml:space="preserve"> </w:t>
      </w:r>
      <w:r>
        <w:rPr>
          <w:b/>
          <w:bCs/>
        </w:rPr>
        <w:t xml:space="preserve">Mechanical margin fell to 10.9% (from 11.9%)</w:t>
      </w:r>
      <w:r>
        <w:t xml:space="preserve"> </w:t>
      </w:r>
      <w:r>
        <w:t xml:space="preserve">on a mix shift toward</w:t>
      </w:r>
      <w:r>
        <w:t xml:space="preserve"> </w:t>
      </w:r>
      <w:r>
        <w:rPr>
          <w:b/>
          <w:bCs/>
        </w:rPr>
        <w:t xml:space="preserve">GMP and cost-plus contracts</w:t>
      </w:r>
      <w:r>
        <w:t xml:space="preserve"> </w:t>
      </w:r>
      <w:r>
        <w:t xml:space="preserve">(lower markups on pass-through materials/subs) plus lower-margin food-processing EPC pass-through revenue. Management stressed they're</w:t>
      </w:r>
      <w:r>
        <w:t xml:space="preserve"> </w:t>
      </w:r>
      <w:r>
        <w:rPr>
          <w:b/>
          <w:bCs/>
        </w:rPr>
        <w:t xml:space="preserve">"searching for margin dollars, not margin percentages,"</w:t>
      </w:r>
      <w:r>
        <w:t xml:space="preserve"> </w:t>
      </w:r>
      <w:r>
        <w:t xml:space="preserve">and that mechanical still sits within its 10.6–13.6% trailing range. Given the 13.6% year-ago mechanical comp, expect</w:t>
      </w:r>
      <w:r>
        <w:t xml:space="preserve"> </w:t>
      </w:r>
      <w:r>
        <w:rPr>
          <w:b/>
          <w:bCs/>
        </w:rPr>
        <w:t xml:space="preserve">YoY margin percentage compression here</w:t>
      </w:r>
      <w:r>
        <w:t xml:space="preserve"> </w:t>
      </w:r>
      <w:r>
        <w:t xml:space="preserve">— the question is whether operating</w:t>
      </w:r>
      <w:r>
        <w:t xml:space="preserve"> </w:t>
      </w:r>
      <w:r>
        <w:rPr>
          <w:i/>
          <w:iCs/>
        </w:rPr>
        <w:t xml:space="preserve">dollars</w:t>
      </w:r>
      <w:r>
        <w:t xml:space="preserve"> </w:t>
      </w:r>
      <w:r>
        <w:t xml:space="preserve">keep compounding (Q1 mechanical op income still grew ~19%) and whether management reaffirms the 9.0–9.4% full-year corporate margin.</w:t>
      </w:r>
    </w:p>
    <w:bookmarkEnd w:id="15"/>
    <w:bookmarkStart w:id="16" w:name="Xea7c03f2a5e6a8c716a363fe9d03acf2f8b342a"/>
    <w:p>
      <w:pPr>
        <w:pStyle w:val="Heading3"/>
      </w:pPr>
      <w:r>
        <w:t xml:space="preserve">4. The other segments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Building Services:</w:t>
      </w:r>
      <w:r>
        <w:t xml:space="preserve"> </w:t>
      </w:r>
      <w:r>
        <w:t xml:space="preserve">Watch whether the</w:t>
      </w:r>
      <w:r>
        <w:t xml:space="preserve"> </w:t>
      </w:r>
      <w:r>
        <w:rPr>
          <w:b/>
          <w:bCs/>
        </w:rPr>
        <w:t xml:space="preserve">site-based restructuring</w:t>
      </w:r>
      <w:r>
        <w:t xml:space="preserve"> </w:t>
      </w:r>
      <w:r>
        <w:t xml:space="preserve">continues to lift margins (5.2% in Q1, +30 bps) even as that business faces slight revenue headwinds; mechanical services (repair, maintenance, controls) is the growth/margin driver.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Industrial Services:</w:t>
      </w:r>
      <w:r>
        <w:t xml:space="preserve"> </w:t>
      </w:r>
      <w:r>
        <w:t xml:space="preserve">Recovering (Q1 op income +89% on a large solar project and easier comp), but note</w:t>
      </w:r>
      <w:r>
        <w:t xml:space="preserve"> </w:t>
      </w:r>
      <w:r>
        <w:rPr>
          <w:b/>
          <w:bCs/>
        </w:rPr>
        <w:t xml:space="preserve">Q2 2025 was actually a small operating loss</w:t>
      </w:r>
      <w:r>
        <w:t xml:space="preserve"> </w:t>
      </w:r>
      <w:r>
        <w:t xml:space="preserve">in this segment — an easy YoY comp this quarter.</w:t>
      </w:r>
    </w:p>
    <w:bookmarkEnd w:id="16"/>
    <w:bookmarkStart w:id="17" w:name="Xfc14d46f475b87ea9861a7bd899f6393155ba7e"/>
    <w:p>
      <w:pPr>
        <w:pStyle w:val="Heading3"/>
      </w:pPr>
      <w:r>
        <w:t xml:space="preserve">5. Cash flow &amp; capital returns</w:t>
      </w:r>
    </w:p>
    <w:p>
      <w:pPr>
        <w:pStyle w:val="FirstParagraph"/>
      </w:pPr>
      <w:r>
        <w:t xml:space="preserve">Q1 operating cash flow was</w:t>
      </w:r>
      <w:r>
        <w:t xml:space="preserve"> </w:t>
      </w:r>
      <w:r>
        <w:rPr>
          <w:b/>
          <w:bCs/>
        </w:rPr>
        <w:t xml:space="preserve">essentially neutral</w:t>
      </w:r>
      <w:r>
        <w:t xml:space="preserve"> </w:t>
      </w:r>
      <w:r>
        <w:t xml:space="preserve">(working-capital build from rapid growth + incentive-comp payout). Management guided full-year OCF to</w:t>
      </w:r>
      <w:r>
        <w:t xml:space="preserve"> </w:t>
      </w:r>
      <w:r>
        <w:rPr>
          <w:b/>
          <w:bCs/>
        </w:rPr>
        <w:t xml:space="preserve">≥ net income (≈80–85% of operating income)</w:t>
      </w:r>
      <w:r>
        <w:t xml:space="preserve">, with</w:t>
      </w:r>
      <w:r>
        <w:t xml:space="preserve"> </w:t>
      </w:r>
      <w:r>
        <w:rPr>
          <w:b/>
          <w:bCs/>
        </w:rPr>
        <w:t xml:space="preserve">Q4 seasonally strongest</w:t>
      </w:r>
      <w:r>
        <w:t xml:space="preserve">. Watch for the expected</w:t>
      </w:r>
      <w:r>
        <w:t xml:space="preserve"> </w:t>
      </w:r>
      <w:r>
        <w:rPr>
          <w:b/>
          <w:bCs/>
        </w:rPr>
        <w:t xml:space="preserve">cash-flow recovery beginning in Q2</w:t>
      </w:r>
      <w:r>
        <w:t xml:space="preserve">. On capital allocation: EME returned</w:t>
      </w:r>
      <w:r>
        <w:t xml:space="preserve"> </w:t>
      </w:r>
      <w:r>
        <w:rPr>
          <w:b/>
          <w:bCs/>
        </w:rPr>
        <w:t xml:space="preserve">$105M in Q1</w:t>
      </w:r>
      <w:r>
        <w:t xml:space="preserve"> </w:t>
      </w:r>
      <w:r>
        <w:t xml:space="preserve">(buybacks + a dividend raised to</w:t>
      </w:r>
      <w:r>
        <w:t xml:space="preserve"> </w:t>
      </w:r>
      <m:oMath>
        <m:r>
          <m:t>0.40</m:t>
        </m:r>
        <m:r>
          <m:rPr>
            <m:sty m:val="p"/>
          </m:rPr>
          <m:t>/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h</m:t>
        </m:r>
        <m:r>
          <m:t>o</m:t>
        </m:r>
        <m:r>
          <m:t>l</m:t>
        </m:r>
        <m:r>
          <m:t>d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916M cash** and a clean balance sheet, and remains active on</w:t>
      </w:r>
      <w:r>
        <w:t xml:space="preserve"> </w:t>
      </w:r>
      <w:r>
        <w:rPr>
          <w:b/>
          <w:bCs/>
        </w:rPr>
        <w:t xml:space="preserve">M&amp;A</w:t>
      </w:r>
      <w:r>
        <w:t xml:space="preserve"> </w:t>
      </w:r>
      <w:r>
        <w:t xml:space="preserve">(primarily low/mid-voltage electrical, mechanical, fire/life-safety and mechanical services "tuck-ins"). Any sizeable acquisition or accelerated buyback (attractive after the pullback) would be notable.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Fundamentally, EMCOR enters this report with as much visibility and momentum as it has ever had — record backlog, robust AI-driven construction demand, and a management team that has repeatedly under-promised and over-delivered. The likely outcome is</w:t>
      </w:r>
      <w:r>
        <w:t xml:space="preserve"> </w:t>
      </w:r>
      <w:r>
        <w:rPr>
          <w:b/>
          <w:bCs/>
        </w:rPr>
        <w:t xml:space="preserve">another revenue/EPS beat and a guidance raise</w:t>
      </w:r>
      <w:r>
        <w:t xml:space="preserve">.</w:t>
      </w:r>
    </w:p>
    <w:p>
      <w:pPr>
        <w:pStyle w:val="BodyText"/>
      </w:pPr>
      <w:r>
        <w:t xml:space="preserve">The risk is almost entirely in</w:t>
      </w:r>
      <w:r>
        <w:t xml:space="preserve"> </w:t>
      </w:r>
      <w:r>
        <w:rPr>
          <w:b/>
          <w:bCs/>
        </w:rPr>
        <w:t xml:space="preserve">expectations and mix</w:t>
      </w:r>
      <w:r>
        <w:t xml:space="preserve">: (1) the stock has already sold off hard with the AI complex, so the reaction will hinge on</w:t>
      </w:r>
      <w:r>
        <w:t xml:space="preserve"> </w:t>
      </w:r>
      <w:r>
        <w:rPr>
          <w:b/>
          <w:bCs/>
        </w:rPr>
        <w:t xml:space="preserve">bookings/RPO and the size of the guidance raise</w:t>
      </w:r>
      <w:r>
        <w:t xml:space="preserve"> </w:t>
      </w:r>
      <w:r>
        <w:t xml:space="preserve">more than the Q2 beat; (2) EME is lapping a</w:t>
      </w:r>
      <w:r>
        <w:t xml:space="preserve"> </w:t>
      </w:r>
      <w:r>
        <w:rPr>
          <w:b/>
          <w:bCs/>
        </w:rPr>
        <w:t xml:space="preserve">record 9.6% Q2 margin (13.6% mechanical)</w:t>
      </w:r>
      <w:r>
        <w:t xml:space="preserve">, so headline</w:t>
      </w:r>
      <w:r>
        <w:t xml:space="preserve"> </w:t>
      </w:r>
      <w:r>
        <w:rPr>
          <w:b/>
          <w:bCs/>
        </w:rPr>
        <w:t xml:space="preserve">margin percentages may compress YoY</w:t>
      </w:r>
      <w:r>
        <w:t xml:space="preserve"> </w:t>
      </w:r>
      <w:r>
        <w:t xml:space="preserve">even as dollars grow, and the ongoing GMP/cost-plus mix shift needs to be well-explained; and (3) any hint of data-center demand softening — however small — would be magnified given the fragile sentiment across AI-infrastructure names right now.</w:t>
      </w:r>
    </w:p>
    <w:p>
      <w:pPr>
        <w:pStyle w:val="BodyText"/>
      </w:pPr>
      <w:r>
        <w:rPr>
          <w:b/>
          <w:bCs/>
        </w:rPr>
        <w:t xml:space="preserve">Net:</w:t>
      </w:r>
      <w:r>
        <w:t xml:space="preserve"> </w:t>
      </w:r>
      <w:r>
        <w:t xml:space="preserve">high odds of a "beat-and-raise," but a de-risked stock that now trades on the</w:t>
      </w:r>
      <w:r>
        <w:t xml:space="preserve"> </w:t>
      </w:r>
      <w:r>
        <w:rPr>
          <w:i/>
          <w:iCs/>
        </w:rPr>
        <w:t xml:space="preserve">durability</w:t>
      </w:r>
      <w:r>
        <w:t xml:space="preserve"> </w:t>
      </w:r>
      <w:r>
        <w:t xml:space="preserve">of the AI/data-center thesis rather than the quarter itself. Watch RPO and the guidance range first, margins second.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EMCOR Q1 2026 earnings release &amp; call transcript (4/29/26); Q2 2025 earnings release (7/31/25); daily market/sector news (7/28–29/26); EME daily closing prices (Jan–Jul 2026). This is an informational earnings preview, not investment advice.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2026-07-29T19:03:48Z</dcterms:created>
  <dcterms:modified xsi:type="dcterms:W3CDTF">2026-07-29T19:03:48Z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