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Let me get the Q1 earnings call transcript, earnings release, and MD&amp;A from the 10-Q, plus recent news.# EMCOR Group (EME) — Q2 2026 Earnings Preview</w:t>
      </w:r>
      <w:r>
        <w:t xml:space="preserve"> </w:t>
      </w:r>
      <w:r>
        <w:rPr>
          <w:b/>
          <w:bCs/>
        </w:rPr>
        <w:t xml:space="preserve">Reports: Thursday, July 30, 2026, before market open | Call: 10:30 AM ET</w:t>
      </w:r>
    </w:p>
    <w:bookmarkStart w:id="9" w:name="setup-into-the-print"/>
    <w:p>
      <w:pPr>
        <w:pStyle w:val="Heading2"/>
      </w:pPr>
      <w:r>
        <w:t xml:space="preserve">Setup Into the Print</w:t>
      </w:r>
    </w:p>
    <w:p>
      <w:pPr>
        <w:pStyle w:val="FirstParagraph"/>
      </w:pPr>
      <w:r>
        <w:t xml:space="preserve">EMCOR shares have been on a rollercoaster into this report. After rallying to an all-time high near</w:t>
      </w:r>
      <w:r>
        <w:t xml:space="preserve"> </w:t>
      </w:r>
      <m:oMath>
        <m:r>
          <m:t>944</m:t>
        </m:r>
        <m:r>
          <m:t>i</m:t>
        </m:r>
        <m:r>
          <m:t>n</m:t>
        </m:r>
        <m:r>
          <m:t>e</m:t>
        </m:r>
        <m:r>
          <m:t>a</m:t>
        </m:r>
        <m:r>
          <m:t>r</m:t>
        </m:r>
        <m:r>
          <m:t>l</m:t>
        </m:r>
        <m:r>
          <m:t>y</m:t>
        </m:r>
        <m:r>
          <m:t>M</m:t>
        </m:r>
        <m:r>
          <m:t>a</m:t>
        </m:r>
        <m:r>
          <m:t>y</m:t>
        </m:r>
        <m:r>
          <m:t>o</m:t>
        </m:r>
        <m:r>
          <m:t>n</m:t>
        </m:r>
        <m:r>
          <m:t>t</m:t>
        </m:r>
        <m:r>
          <m:t>h</m:t>
        </m:r>
        <m:r>
          <m:t>e</m:t>
        </m:r>
        <m:r>
          <m:t>b</m:t>
        </m:r>
        <m:r>
          <m:t>a</m:t>
        </m:r>
        <m:r>
          <m:t>c</m:t>
        </m:r>
        <m:r>
          <m:t>k</m:t>
        </m:r>
        <m:r>
          <m:t>o</m:t>
        </m:r>
        <m:r>
          <m:t>f</m:t>
        </m:r>
        <m:r>
          <m:t>a</m:t>
        </m:r>
        <m:r>
          <m:t>b</m:t>
        </m:r>
        <m:r>
          <m:t>l</m:t>
        </m:r>
        <m:r>
          <m:t>o</m:t>
        </m:r>
        <m:r>
          <m:t>w</m:t>
        </m:r>
        <m:r>
          <m:t>o</m:t>
        </m:r>
        <m:r>
          <m:t>u</m:t>
        </m:r>
        <m:r>
          <m:t>t</m:t>
        </m:r>
        <m:r>
          <m:t>Q</m:t>
        </m:r>
        <m:r>
          <m:t>1</m:t>
        </m:r>
        <m:r>
          <m:rPr>
            <m:sty m:val="p"/>
          </m:rPr>
          <m:t>,</m:t>
        </m:r>
        <m:r>
          <m:t>t</m:t>
        </m:r>
        <m:r>
          <m:t>h</m:t>
        </m:r>
        <m:r>
          <m:t>e</m:t>
        </m:r>
        <m:r>
          <m:t>s</m:t>
        </m:r>
        <m:r>
          <m:t>t</m:t>
        </m:r>
        <m:r>
          <m:t>o</m:t>
        </m:r>
        <m:r>
          <m:t>c</m:t>
        </m:r>
        <m:r>
          <m:t>k</m:t>
        </m:r>
        <m:r>
          <m:t>h</m:t>
        </m:r>
        <m:r>
          <m:t>a</m:t>
        </m:r>
        <m:r>
          <m:t>s</m:t>
        </m:r>
        <m:r>
          <m:t>s</m:t>
        </m:r>
        <m:r>
          <m:t>i</m:t>
        </m:r>
        <m:r>
          <m:t>n</m:t>
        </m:r>
        <m:r>
          <m:t>c</m:t>
        </m:r>
        <m:r>
          <m:t>e</m:t>
        </m:r>
        <m:r>
          <m:t>r</m:t>
        </m:r>
        <m:r>
          <m:t>o</m:t>
        </m:r>
        <m:r>
          <m:t>u</m:t>
        </m:r>
        <m:r>
          <m:t>n</m:t>
        </m:r>
        <m:r>
          <m:t>d</m:t>
        </m:r>
        <m:r>
          <m:rPr>
            <m:sty m:val="p"/>
          </m:rPr>
          <m:t>−</m:t>
        </m:r>
        <m:r>
          <m:t>t</m:t>
        </m:r>
        <m:r>
          <m:t>r</m:t>
        </m:r>
        <m:r>
          <m:t>i</m:t>
        </m:r>
        <m:r>
          <m:t>p</m:t>
        </m:r>
        <m:r>
          <m:t>p</m:t>
        </m:r>
        <m:r>
          <m:t>e</m:t>
        </m:r>
        <m:r>
          <m:t>d</m:t>
        </m:r>
        <m:r>
          <m:t>a</m:t>
        </m:r>
        <m:r>
          <m:t>n</m:t>
        </m:r>
        <m:r>
          <m:t>d</m:t>
        </m:r>
        <m:r>
          <m:t>t</m:t>
        </m:r>
        <m:r>
          <m:t>h</m:t>
        </m:r>
        <m:r>
          <m:t>e</m:t>
        </m:r>
        <m:r>
          <m:t>n</m:t>
        </m:r>
        <m:r>
          <m:t>s</m:t>
        </m:r>
        <m:r>
          <m:t>o</m:t>
        </m:r>
        <m:r>
          <m:t>m</m:t>
        </m:r>
        <m:r>
          <m:t>e</m:t>
        </m:r>
        <m:r>
          <m:rPr>
            <m:sty m:val="p"/>
          </m:rPr>
          <m:t>—</m:t>
        </m:r>
        <m:r>
          <m:t>c</m:t>
        </m:r>
        <m:r>
          <m:t>l</m:t>
        </m:r>
        <m:r>
          <m:t>o</m:t>
        </m:r>
        <m:r>
          <m:t>s</m:t>
        </m:r>
        <m:r>
          <m:t>i</m:t>
        </m:r>
        <m:r>
          <m:t>n</m:t>
        </m:r>
        <m:r>
          <m:t>g</m:t>
        </m:r>
        <m:r>
          <m:t>a</m:t>
        </m:r>
        <m:r>
          <m:t>t</m:t>
        </m:r>
        <m:r>
          <m:rPr>
            <m:sty m:val="p"/>
          </m:rPr>
          <m:t>*</m:t>
        </m:r>
        <m:r>
          <m:rPr>
            <m:sty m:val="p"/>
          </m:rPr>
          <m:t>*</m:t>
        </m:r>
      </m:oMath>
      <w:r>
        <w:t xml:space="preserve">684.02 on July 29**, down roughly 5% the day before earnings and off more than 27% from its May peak. Recent web commentary attributes the slide less to company-specific news and more to</w:t>
      </w:r>
      <w:r>
        <w:t xml:space="preserve"> </w:t>
      </w:r>
      <w:r>
        <w:rPr>
          <w:b/>
          <w:bCs/>
        </w:rPr>
        <w:t xml:space="preserve">sector-wide rotation out of richly-valued, AI/data-center-levered infrastructure names</w:t>
      </w:r>
      <w:r>
        <w:t xml:space="preserve">, position-trimming ahead of the print, and a broader bout of nerves about hyperscaler capex durability (Vertiv's revenue miss, Amkor's soft guidance, and SK Hynix's AI-capex jitters all hit sentiment across the group in the same week). Persistent insider selling (CEO Tony Guzzi and other executives have been net sellers, with no open-market buying in the past six months) has added a modest overhang. Coming in, analyst sentiment remains constructive — a "Buy"/"Strong Buy" consensus with price targets that have been raised as high as</w:t>
      </w:r>
      <w:r>
        <w:t xml:space="preserve"> </w:t>
      </w:r>
      <m:oMath>
        <m:r>
          <m:t>1</m:t>
        </m:r>
        <m:r>
          <m:rPr>
            <m:sty m:val="p"/>
          </m:rPr>
          <m:t>,</m:t>
        </m:r>
        <m:r>
          <m:t>100</m:t>
        </m:r>
        <m:r>
          <m:rPr>
            <m:sty m:val="p"/>
          </m:rPr>
          <m:t>–</m:t>
        </m:r>
      </m:oMath>
      <w:r>
        <w:t xml:space="preserve">1,123 by Cantor Fitzgerald and Oppenheimer.</w:t>
      </w:r>
    </w:p>
    <w:bookmarkEnd w:id="9"/>
    <w:bookmarkStart w:id="10" w:name="what-consensus-expects"/>
    <w:p>
      <w:pPr>
        <w:pStyle w:val="Heading2"/>
      </w:pPr>
      <w:r>
        <w:t xml:space="preserve">What Consensus Expects</w:t>
      </w:r>
    </w:p>
    <w:p>
      <w:pPr>
        <w:pStyle w:val="Compact"/>
        <w:numPr>
          <w:ilvl w:val="0"/>
          <w:numId w:val="1001"/>
        </w:numPr>
      </w:pPr>
      <w:r>
        <w:rPr>
          <w:b/>
          <w:bCs/>
        </w:rPr>
        <w:t xml:space="preserve">EPS:</w:t>
      </w:r>
      <w:r>
        <w:t xml:space="preserve"> </w:t>
      </w:r>
      <w:r>
        <w:t xml:space="preserve">~$7.23 (Zacks consensus, revised up from $7.02 over the last 60 days), implying only ~7.6% y/y growth</w:t>
      </w:r>
    </w:p>
    <w:p>
      <w:pPr>
        <w:pStyle w:val="Compact"/>
        <w:numPr>
          <w:ilvl w:val="0"/>
          <w:numId w:val="1001"/>
        </w:numPr>
      </w:pPr>
      <w:r>
        <w:rPr>
          <w:b/>
          <w:bCs/>
        </w:rPr>
        <w:t xml:space="preserve">Revenue:</w:t>
      </w:r>
      <w:r>
        <w:t xml:space="preserve"> </w:t>
      </w:r>
      <w:r>
        <w:t xml:space="preserve">~$4.71–4.73 billion, implying ~9.9% y/y growth</w:t>
      </w:r>
    </w:p>
    <w:p>
      <w:pPr>
        <w:pStyle w:val="Compact"/>
        <w:numPr>
          <w:ilvl w:val="0"/>
          <w:numId w:val="1001"/>
        </w:numPr>
      </w:pPr>
      <w:r>
        <w:rPr>
          <w:b/>
          <w:bCs/>
        </w:rPr>
        <w:t xml:space="preserve">FY2026 guidance already on the books (raised at Q1):</w:t>
      </w:r>
      <w:r>
        <w:t xml:space="preserve"> </w:t>
      </w:r>
      <w:r>
        <w:t xml:space="preserve">Revenue</w:t>
      </w:r>
      <w:r>
        <w:t xml:space="preserve"> </w:t>
      </w:r>
      <m:oMath>
        <m:r>
          <m:t>18.50</m:t>
        </m:r>
        <m:r>
          <m:rPr>
            <m:sty m:val="p"/>
          </m:rPr>
          <m:t>–</m:t>
        </m:r>
      </m:oMath>
      <w:r>
        <w:t xml:space="preserve">19.25B, Operating margin 9.0%–9.4%, Diluted EPS</w:t>
      </w:r>
      <w:r>
        <w:t xml:space="preserve"> </w:t>
      </w:r>
      <m:oMath>
        <m:r>
          <m:t>28.25</m:t>
        </m:r>
        <m:r>
          <m:rPr>
            <m:sty m:val="p"/>
          </m:rPr>
          <m:t>–</m:t>
        </m:r>
      </m:oMath>
      <w:r>
        <w:t xml:space="preserve">29.75</w:t>
      </w:r>
    </w:p>
    <w:p>
      <w:pPr>
        <w:pStyle w:val="FirstParagraph"/>
      </w:pPr>
      <w:r>
        <w:t xml:space="preserve">Notably, the implied Q2 growth rates in consensus (~8–10%) look conservative relative to both Q1's actual pace and EMCOR's swelling backlog — a setup that has historically favored EMCOR, which has beaten estimates in recent quarters.</w:t>
      </w:r>
    </w:p>
    <w:bookmarkEnd w:id="10"/>
    <w:bookmarkStart w:id="11" w:name="q1-2026-recap-the-bar-that-was-set"/>
    <w:p>
      <w:pPr>
        <w:pStyle w:val="Heading2"/>
      </w:pPr>
      <w:r>
        <w:t xml:space="preserve">Q1 2026 Recap: The Bar That Was Set</w:t>
      </w:r>
    </w:p>
    <w:p>
      <w:pPr>
        <w:pStyle w:val="FirstParagraph"/>
      </w:pPr>
      <w:r>
        <w:t xml:space="preserve">EMCOR's first quarter was a blowout and the primary reason expectations (and the stock, initially) ran up so much. Management reported that the company</w:t>
      </w:r>
      <w:r>
        <w:t xml:space="preserve"> </w:t>
      </w:r>
      <w:r>
        <w:rPr>
          <w:b/>
          <w:bCs/>
        </w:rPr>
        <w:t xml:space="preserve">generated revenues of $4.63 billion, representing year-over-year growth of 19.7% and organic growth of 16.8%... Operating income reached $404 million with an 8.7% operating margin, while diluted earnings per share of $6.84 represents an increase of 30% versus the first quarter of 2025.</w:t>
      </w:r>
      <w:r>
        <w:t xml:space="preserve"> </w:t>
      </w:r>
      <w:r>
        <w:t xml:space="preserve">Both segments delivering the growth were construction:</w:t>
      </w:r>
      <w:r>
        <w:t xml:space="preserve"> </w:t>
      </w:r>
      <w:r>
        <w:rPr>
          <w:b/>
          <w:bCs/>
        </w:rPr>
        <w:t xml:space="preserve">the electrical construction segment generated year-over-year revenue growth of 33.1% with a 12.1% operating margin, while the mechanical construction segment achieved 28.9% revenue growth with a 10.9% operating margin.</w:t>
      </w:r>
    </w:p>
    <w:p>
      <w:pPr>
        <w:pStyle w:val="BodyText"/>
      </w:pPr>
      <w:r>
        <w:t xml:space="preserve">Backlog visibility was arguably the standout metric.</w:t>
      </w:r>
      <w:r>
        <w:t xml:space="preserve"> </w:t>
      </w:r>
      <w:r>
        <w:rPr>
          <w:b/>
          <w:bCs/>
        </w:rPr>
        <w:t xml:space="preserve">Remaining performance obligations totaled $15.62 billion at the end of the quarter, versus $11.75 billion in the year ago period and $13.25 billion as of December 31, 2025... representing year-over-year growth of 32.9% and sequential growth of 17.9%</w:t>
      </w:r>
      <w:r>
        <w:t xml:space="preserve">, driven by a book-to-bill north of 1.5x — a record for the company. Management flagged</w:t>
      </w:r>
      <w:r>
        <w:t xml:space="preserve"> </w:t>
      </w:r>
      <w:r>
        <w:rPr>
          <w:b/>
          <w:bCs/>
        </w:rPr>
        <w:t xml:space="preserve">particularly robust activity in networking and communications or data centers, where we continue to expand our geographic footprint and scope of services</w:t>
      </w:r>
      <w:r>
        <w:t xml:space="preserve">, alongside upside surprises in institutional (university lab spending), water/wastewater (Florida), and healthcare demand.</w:t>
      </w:r>
    </w:p>
    <w:p>
      <w:pPr>
        <w:pStyle w:val="BodyText"/>
      </w:pPr>
      <w:r>
        <w:t xml:space="preserve">On the back of that quarter, EMCOR</w:t>
      </w:r>
      <w:r>
        <w:t xml:space="preserve"> </w:t>
      </w:r>
      <w:r>
        <w:rPr>
          <w:b/>
          <w:bCs/>
        </w:rPr>
        <w:t xml:space="preserve">raised its 2026 guidance</w:t>
      </w:r>
      <w:r>
        <w:t xml:space="preserve">, moving revenue to</w:t>
      </w:r>
      <w:r>
        <w:t xml:space="preserve"> </w:t>
      </w:r>
      <m:oMath>
        <m:r>
          <m:t>18.50</m:t>
        </m:r>
        <m:r>
          <m:t>B</m:t>
        </m:r>
        <m:r>
          <m:rPr>
            <m:sty m:val="p"/>
          </m:rPr>
          <m:t>–</m:t>
        </m:r>
      </m:oMath>
      <w:r>
        <w:t xml:space="preserve">19.25B (from</w:t>
      </w:r>
      <w:r>
        <w:t xml:space="preserve"> </w:t>
      </w:r>
      <m:oMath>
        <m:r>
          <m:t>17.75</m:t>
        </m:r>
        <m:r>
          <m:t>B</m:t>
        </m:r>
        <m:r>
          <m:rPr>
            <m:sty m:val="p"/>
          </m:rPr>
          <m:t>–</m:t>
        </m:r>
      </m:oMath>
      <w:r>
        <w:t xml:space="preserve">18.50B) and diluted EPS to</w:t>
      </w:r>
      <w:r>
        <w:t xml:space="preserve"> </w:t>
      </w:r>
      <m:oMath>
        <m:r>
          <m:t>28.25</m:t>
        </m:r>
        <m:r>
          <m:rPr>
            <m:sty m:val="p"/>
          </m:rPr>
          <m:t>–</m:t>
        </m:r>
      </m:oMath>
      <w:r>
        <w:t xml:space="preserve">29.75 (from</w:t>
      </w:r>
      <w:r>
        <w:t xml:space="preserve"> </w:t>
      </w:r>
      <m:oMath>
        <m:r>
          <m:t>27.25</m:t>
        </m:r>
        <m:r>
          <m:rPr>
            <m:sty m:val="p"/>
          </m:rPr>
          <m:t>–</m:t>
        </m:r>
      </m:oMath>
      <w:r>
        <w:t xml:space="preserve">29.25), while holding the operating margin range steady at 9.0%–9.4%.</w:t>
      </w:r>
    </w:p>
    <w:p>
      <w:pPr>
        <w:pStyle w:val="BodyText"/>
      </w:pPr>
      <w:r>
        <w:t xml:space="preserve">For reference,</w:t>
      </w:r>
      <w:r>
        <w:t xml:space="preserve"> </w:t>
      </w:r>
      <w:r>
        <w:rPr>
          <w:b/>
          <w:bCs/>
        </w:rPr>
        <w:t xml:space="preserve">Q2 2025 actuals</w:t>
      </w:r>
      <w:r>
        <w:t xml:space="preserve"> </w:t>
      </w:r>
      <w:r>
        <w:t xml:space="preserve">(the compare for this quarter) were revenue of $4.30 billion (+17.4% y/y), diluted EPS of $6.72 (+28% y/y), and RPOs of $11.91 billion.</w:t>
      </w:r>
    </w:p>
    <w:bookmarkEnd w:id="11"/>
    <w:bookmarkStart w:id="12" w:name="key-themes-to-watch-this-quarter"/>
    <w:p>
      <w:pPr>
        <w:pStyle w:val="Heading2"/>
      </w:pPr>
      <w:r>
        <w:t xml:space="preserve">Key Themes to Watch This Quarter</w:t>
      </w:r>
    </w:p>
    <w:p>
      <w:pPr>
        <w:pStyle w:val="FirstParagraph"/>
      </w:pPr>
      <w:r>
        <w:rPr>
          <w:b/>
          <w:bCs/>
        </w:rPr>
        <w:t xml:space="preserve">1. Margin mix in Mechanical Construction.</w:t>
      </w:r>
      <w:r>
        <w:t xml:space="preserve"> </w:t>
      </w:r>
      <w:r>
        <w:t xml:space="preserve">Q1 mechanical margin compressed to 10.9% from 11.9% a year ago as EMCOR took on more GMP/cost-plus and prime-contractor work tied to newer, fast-scaling AI data center and food-processing (EPC-style) projects — contract structures that carry lower gross margin percentages but strong margin</w:t>
      </w:r>
      <w:r>
        <w:t xml:space="preserve"> </w:t>
      </w:r>
      <w:r>
        <w:rPr>
          <w:i/>
          <w:iCs/>
        </w:rPr>
        <w:t xml:space="preserve">dollars</w:t>
      </w:r>
      <w:r>
        <w:t xml:space="preserve"> </w:t>
      </w:r>
      <w:r>
        <w:t xml:space="preserve">and returns on capital. CFO Jason Nalbandian noted the segment has ranged</w:t>
      </w:r>
      <w:r>
        <w:t xml:space="preserve"> </w:t>
      </w:r>
      <w:r>
        <w:rPr>
          <w:b/>
          <w:bCs/>
        </w:rPr>
        <w:t xml:space="preserve">"as low as 10.6% and as high as 13.6%"</w:t>
      </w:r>
      <w:r>
        <w:t xml:space="preserve"> </w:t>
      </w:r>
      <w:r>
        <w:t xml:space="preserve">over the trailing eight quarters, so some quarter-to-quarter noise here is normal; the question is whether that mix shift persists or partially reverses in Q2.</w:t>
      </w:r>
    </w:p>
    <w:p>
      <w:pPr>
        <w:pStyle w:val="BodyText"/>
      </w:pPr>
      <w:r>
        <w:rPr>
          <w:b/>
          <w:bCs/>
        </w:rPr>
        <w:t xml:space="preserve">2. Bookings cadence and the "30% still to book" bar.</w:t>
      </w:r>
      <w:r>
        <w:t xml:space="preserve"> </w:t>
      </w:r>
      <w:r>
        <w:t xml:space="preserve">On the Q1 call, management noted that hitting the midpoint of full-year revenue guidance still requires booking roughly 30% of the year's remaining work, and that visibility would improve materially by the Q2 print. Investors will want an updated read on booking pace, especially in data centers, and whether RPO growth (32.9% y/y in Q1) continued at a similar clip.</w:t>
      </w:r>
    </w:p>
    <w:p>
      <w:pPr>
        <w:pStyle w:val="BodyText"/>
      </w:pPr>
      <w:r>
        <w:rPr>
          <w:b/>
          <w:bCs/>
        </w:rPr>
        <w:t xml:space="preserve">3. Guidance cadence — raise, reaffirm, or pause?</w:t>
      </w:r>
      <w:r>
        <w:t xml:space="preserve"> </w:t>
      </w:r>
      <w:r>
        <w:t xml:space="preserve">Full-year guidance implies a marked deceleration from Q1's 19.7% revenue growth to something closer to high-single/low-double digits for the balance of the year, largely a function of tough prior-year comps and typical conservatism. A guidance raise consistent with Q1's pattern (management raised guidance after Q1 despite record results) would reinforce the growth narrative; a hold could reignite "priced for perfection" concerns given the stock's recent volatility.</w:t>
      </w:r>
    </w:p>
    <w:p>
      <w:pPr>
        <w:pStyle w:val="BodyText"/>
      </w:pPr>
      <w:r>
        <w:rPr>
          <w:b/>
          <w:bCs/>
        </w:rPr>
        <w:t xml:space="preserve">4. Cash flow conversion.</w:t>
      </w:r>
      <w:r>
        <w:t xml:space="preserve"> </w:t>
      </w:r>
      <w:r>
        <w:t xml:space="preserve">Q1 operating cash flow was roughly breakeven due to AR growth from the revenue ramp and incentive comp payments, but management guided to full-year operating cash flow at least equal to net income (or 80–85% of operating income), noting</w:t>
      </w:r>
      <w:r>
        <w:t xml:space="preserve"> </w:t>
      </w:r>
      <w:r>
        <w:rPr>
          <w:b/>
          <w:bCs/>
        </w:rPr>
        <w:t xml:space="preserve">Q4 tends to be the strongest for us from a cash flow generation perspective. Q1 tends to be the weakest.</w:t>
      </w:r>
      <w:r>
        <w:t xml:space="preserve"> </w:t>
      </w:r>
      <w:r>
        <w:t xml:space="preserve">Watch for confirmation that the seasonal pattern (and working-capital unwind) is tracking as expected.</w:t>
      </w:r>
    </w:p>
    <w:p>
      <w:pPr>
        <w:pStyle w:val="BodyText"/>
      </w:pPr>
      <w:r>
        <w:rPr>
          <w:b/>
          <w:bCs/>
        </w:rPr>
        <w:t xml:space="preserve">5. Capital allocation / M&amp;A.</w:t>
      </w:r>
      <w:r>
        <w:t xml:space="preserve"> </w:t>
      </w:r>
      <w:r>
        <w:t xml:space="preserve">EMCOR entered the year with a strong, debt-light balance sheet ($916 million cash, $1.25 billion working capital as of Q1) and returned $105 million to shareholders in Q1 via buybacks and dividends. Management has signaled continued appetite for bolt-on M&amp;A concentrated in low/mid-voltage electrical, mechanical/fire-protection platforms, and building-controls/mechanical-services — any updates on deal pipeline or capital deployment pace are worth tracking.</w:t>
      </w:r>
    </w:p>
    <w:p>
      <w:pPr>
        <w:pStyle w:val="BodyText"/>
      </w:pPr>
      <w:r>
        <w:rPr>
          <w:b/>
          <w:bCs/>
        </w:rPr>
        <w:t xml:space="preserve">6. AI/data center capex durability.</w:t>
      </w:r>
      <w:r>
        <w:t xml:space="preserve"> </w:t>
      </w:r>
      <w:r>
        <w:t xml:space="preserve">Given the stock's re-rating lower alongside other AI-infrastructure-exposed names, management's tone on data center demand sustainability (still described in Q1 as showing</w:t>
      </w:r>
      <w:r>
        <w:t xml:space="preserve"> </w:t>
      </w:r>
      <w:r>
        <w:rPr>
          <w:b/>
          <w:bCs/>
        </w:rPr>
        <w:t xml:space="preserve">"no sign of slowing demand"</w:t>
      </w:r>
      <w:r>
        <w:t xml:space="preserve">) will be closely parsed for any softening in language, especially after a volatile few weeks of hyperscaler capex headlines.</w:t>
      </w:r>
    </w:p>
    <w:bookmarkEnd w:id="12"/>
    <w:bookmarkStart w:id="13" w:name="Xa9878c20fd94f85bfb8b0e426df8013111328ff"/>
    <w:p>
      <w:pPr>
        <w:pStyle w:val="Heading2"/>
      </w:pPr>
      <w:r>
        <w:t xml:space="preserve">A Bullish Read-Through: Comfort Systems' Blowout Quarter</w:t>
      </w:r>
    </w:p>
    <w:p>
      <w:pPr>
        <w:pStyle w:val="FirstParagraph"/>
      </w:pPr>
      <w:r>
        <w:t xml:space="preserve">A useful data point ahead of EMCOR's print: peer</w:t>
      </w:r>
      <w:r>
        <w:t xml:space="preserve"> </w:t>
      </w:r>
      <w:r>
        <w:rPr>
          <w:b/>
          <w:bCs/>
        </w:rPr>
        <w:t xml:space="preserve">Comfort Systems USA (FIX)</w:t>
      </w:r>
      <w:r>
        <w:t xml:space="preserve"> </w:t>
      </w:r>
      <w:r>
        <w:t xml:space="preserve">— another mechanical/electrical contractor with heavy data-center and modular-construction exposure — reported Q2 2026 results on July 23 that crushed expectations, with</w:t>
      </w:r>
      <w:r>
        <w:t xml:space="preserve"> </w:t>
      </w:r>
      <w:r>
        <w:rPr>
          <w:b/>
          <w:bCs/>
        </w:rPr>
        <w:t xml:space="preserve">earnings per share of $12.53, which topped the Zacks Consensus Estimate of $10.38 by 20.7% and increased 91.9% from $6.53 reported in the year-ago quarter</w:t>
      </w:r>
      <w:r>
        <w:t xml:space="preserve">, on revenue up 50.7% y/y to $3.27 billion and backlog up 73% y/y to roughly $14.1 billion. While Comfort Systems' growth rate is inflated by a larger acquisition contribution, the magnitude of the beat and the backlog acceleration suggest end-market demand (especially data centers) remained robust through Q2 — a positive read-through for EMCOR, even though EMCOR's growth algorithm is more organic and diversified across end markets.</w:t>
      </w:r>
    </w:p>
    <w:bookmarkEnd w:id="13"/>
    <w:bookmarkStart w:id="14" w:name="bottom-line-for-investors"/>
    <w:p>
      <w:pPr>
        <w:pStyle w:val="Heading2"/>
      </w:pPr>
      <w:r>
        <w:t xml:space="preserve">Bottom Line for Investors</w:t>
      </w:r>
    </w:p>
    <w:p>
      <w:pPr>
        <w:pStyle w:val="FirstParagraph"/>
      </w:pPr>
      <w:r>
        <w:t xml:space="preserve">EMCOR heads into Thursday's report with genuinely strong underlying fundamentals — record backlog, broad-based end-market demand (data centers, healthcare, institutional, water/wastewater, warehousing/logistics), a fortress balance sheet, and management that has consistently beaten and raised guidance through this cycle. The tension for the stock is valuation and sentiment: shares have fallen roughly 30% from their spring highs even as the operating story has, by most accounts, not deteriorated — a divergence that leaves room for a "good quarter, but was it good enough" reaction. Key swing factors to watch in the print and call: (1) whether RPO/book-to-bill momentum continued, (2) directionality of mechanical segment margins, (3) any tweak to full-year guidance, and (4) management's tone on AI data center capex durability given the recent sector-wide wobble.</w:t>
      </w:r>
    </w:p>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2026-07-29T19:04:56Z</dcterms:created>
  <dcterms:modified xsi:type="dcterms:W3CDTF">2026-07-29T19:04:56Z</dcterms:modified>
</cp:coreProperties>
</file>

<file path=docProps/custom.xml><?xml version="1.0" encoding="utf-8"?>
<Properties xmlns="http://schemas.openxmlformats.org/officeDocument/2006/custom-properties" xmlns:vt="http://schemas.openxmlformats.org/officeDocument/2006/docPropsVTypes"/>
</file>