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~$7.55 vs. cons $7.23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~$4.84B vs. cons $4.71B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remaining performance obligations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~$16.10B vs. cons $15.90B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~$19.15B vs. cons $19.00B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~$29.90 vs. cons $29.37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+8.5% (FOLLOW-THROUGH)</w:t>
            </w:r>
          </w:p>
        </w:tc>
        <w:tc>
          <w:tcPr/>
          <w:p>
            <w:pPr>
              <w:pStyle w:val="Compact"/>
            </w:pPr>
            <w:r>
              <w:t xml:space="preserve">A broad beat, near-record RPOs and higher FY2026 guidance should lift FY2026/FY2027 estimates; the sharp pre-report selloff creates room for continued recovery rather than a rapid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2026-07-29T19:03:13Z</dcterms:created>
  <dcterms:modified xsi:type="dcterms:W3CDTF">2026-07-29T19:03:13Z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