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X8cee1ef3273a76307a15f81ae618a5af25d64fe"/>
    <w:p>
      <w:pPr>
        <w:pStyle w:val="Heading1"/>
      </w:pPr>
      <w:r>
        <w:t xml:space="preserve">EMCOR Group (NYSE: EME) — Q2 2026 Earnings Preview</w:t>
      </w:r>
    </w:p>
    <w:p>
      <w:pPr>
        <w:pStyle w:val="FirstParagraph"/>
      </w:pPr>
      <w:r>
        <w:rPr>
          <w:b/>
          <w:bCs/>
        </w:rPr>
        <w:t xml:space="preserve">Report:</w:t>
      </w:r>
      <w:r>
        <w:t xml:space="preserve"> </w:t>
      </w:r>
      <w:r>
        <w:t xml:space="preserve">Thursday, July 30, 2026, before the market opens</w:t>
      </w:r>
      <w:r>
        <w:br/>
      </w:r>
      <w:r>
        <w:rPr>
          <w:b/>
          <w:bCs/>
        </w:rPr>
        <w:t xml:space="preserve">Conference call:</w:t>
      </w:r>
      <w:r>
        <w:t xml:space="preserve"> </w:t>
      </w:r>
      <w:r>
        <w:t xml:space="preserve">10:30 a.m. ET (</w:t>
      </w:r>
      <w:hyperlink r:id="rId9">
        <w:r>
          <w:rPr>
            <w:rStyle w:val="Hyperlink"/>
          </w:rPr>
          <w:t xml:space="preserve">emcorgroup.com</w:t>
        </w:r>
      </w:hyperlink>
      <w:r>
        <w:t xml:space="preserve">)</w:t>
      </w:r>
    </w:p>
    <w:bookmarkStart w:id="10" w:name="executive-summary"/>
    <w:p>
      <w:pPr>
        <w:pStyle w:val="Heading2"/>
      </w:pPr>
      <w:r>
        <w:t xml:space="preserve">Executive summary</w:t>
      </w:r>
    </w:p>
    <w:p>
      <w:pPr>
        <w:pStyle w:val="FirstParagraph"/>
      </w:pPr>
      <w:r>
        <w:t xml:space="preserve">EMCOR enters Q2 with unusually strong demand visibility but a more demanding earnings setup than the headline consensus suggests.</w:t>
      </w:r>
    </w:p>
    <w:p>
      <w:pPr>
        <w:pStyle w:val="BodyText"/>
      </w:pPr>
      <w:r>
        <w:t xml:space="preserve">The central question is no longer whether AI/data-center construction is growing. It is whether EMCOR can convert its record order book into revenue</w:t>
      </w:r>
      <w:r>
        <w:t xml:space="preserve"> </w:t>
      </w:r>
      <w:r>
        <w:rPr>
          <w:b/>
          <w:bCs/>
        </w:rPr>
        <w:t xml:space="preserve">without allowing project mix, GMP contracts and rapid geographic expansion to erode margins</w:t>
      </w:r>
      <w:r>
        <w:t xml:space="preserve">. Investors should focus on:</w:t>
      </w:r>
    </w:p>
    <w:p>
      <w:pPr>
        <w:pStyle w:val="Compact"/>
        <w:numPr>
          <w:ilvl w:val="0"/>
          <w:numId w:val="1001"/>
        </w:numPr>
      </w:pPr>
      <w:r>
        <w:rPr>
          <w:b/>
          <w:bCs/>
        </w:rPr>
        <w:t xml:space="preserve">Remaining performance obligations, or RPOs</w:t>
      </w:r>
      <w:r>
        <w:t xml:space="preserve">, following Q1’s record bookings.</w:t>
      </w:r>
    </w:p>
    <w:p>
      <w:pPr>
        <w:pStyle w:val="Compact"/>
        <w:numPr>
          <w:ilvl w:val="0"/>
          <w:numId w:val="1001"/>
        </w:numPr>
      </w:pPr>
      <w:r>
        <w:rPr>
          <w:b/>
          <w:bCs/>
        </w:rPr>
        <w:t xml:space="preserve">Mechanical-construction margins</w:t>
      </w:r>
      <w:r>
        <w:t xml:space="preserve">, where data-center growth is strongest but contract mix is less favorable.</w:t>
      </w:r>
    </w:p>
    <w:p>
      <w:pPr>
        <w:pStyle w:val="Compact"/>
        <w:numPr>
          <w:ilvl w:val="0"/>
          <w:numId w:val="1001"/>
        </w:numPr>
      </w:pPr>
      <w:r>
        <w:rPr>
          <w:b/>
          <w:bCs/>
        </w:rPr>
        <w:t xml:space="preserve">The size of any guidance increase.</w:t>
      </w:r>
    </w:p>
    <w:p>
      <w:pPr>
        <w:pStyle w:val="Compact"/>
        <w:numPr>
          <w:ilvl w:val="0"/>
          <w:numId w:val="1001"/>
        </w:numPr>
      </w:pPr>
      <w:r>
        <w:rPr>
          <w:b/>
          <w:bCs/>
        </w:rPr>
        <w:t xml:space="preserve">Project mobilization and field-leadership capacity.</w:t>
      </w:r>
    </w:p>
    <w:p>
      <w:pPr>
        <w:pStyle w:val="Compact"/>
        <w:numPr>
          <w:ilvl w:val="0"/>
          <w:numId w:val="1001"/>
        </w:numPr>
      </w:pPr>
      <w:r>
        <w:rPr>
          <w:b/>
          <w:bCs/>
        </w:rPr>
        <w:t xml:space="preserve">Working-capital and cash-flow improvement after a neutral Q1.</w:t>
      </w:r>
    </w:p>
    <w:p>
      <w:pPr>
        <w:pStyle w:val="FirstParagraph"/>
      </w:pPr>
      <w:r>
        <w:t xml:space="preserve">A modest EPS beat alone may not be enough. Full-year consensus is already near the top half of management’s guidance, so the market will likely want a combination of durable RPOs, acceptable margins and higher guidance.</w:t>
      </w:r>
    </w:p>
    <w:p>
      <w:r>
        <w:pict>
          <v:rect style="width:0;height:1.5pt" o:hralign="center" o:hrstd="t" o:hr="t"/>
        </w:pict>
      </w:r>
    </w:p>
    <w:bookmarkEnd w:id="10"/>
    <w:bookmarkStart w:id="14" w:name="expectations-going-into-the-report"/>
    <w:p>
      <w:pPr>
        <w:pStyle w:val="Heading2"/>
      </w:pPr>
      <w:r>
        <w:t xml:space="preserve">Expectations going into the report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consensus</w:t>
            </w:r>
          </w:p>
        </w:tc>
        <w:tc>
          <w:tcPr/>
          <w:p>
            <w:pPr>
              <w:pStyle w:val="Compact"/>
              <w:jc w:val="right"/>
            </w:pPr>
            <w:r>
              <w:t xml:space="preserve">Q2 2025 actual</w:t>
            </w:r>
          </w:p>
        </w:tc>
        <w:tc>
          <w:tcPr/>
          <w:p>
            <w:pPr>
              <w:pStyle w:val="Compact"/>
              <w:jc w:val="right"/>
            </w:pPr>
            <w:r>
              <w:t xml:space="preserve">Implied YoY growth</w:t>
            </w:r>
          </w:p>
        </w:tc>
      </w:tr>
      <w:tr>
        <w:tc>
          <w:tcPr/>
          <w:p>
            <w:pPr>
              <w:pStyle w:val="Compact"/>
            </w:pPr>
            <w:r>
              <w:t xml:space="preserve">Revenue</w:t>
            </w:r>
          </w:p>
        </w:tc>
        <w:tc>
          <w:tcPr/>
          <w:p>
            <w:pPr>
              <w:pStyle w:val="Compact"/>
              <w:jc w:val="right"/>
            </w:pPr>
            <w:r>
              <w:t xml:space="preserve">Approximately</w:t>
            </w:r>
            <w:r>
              <w:t xml:space="preserve"> </w:t>
            </w:r>
            <w:r>
              <w:rPr>
                <w:b/>
                <w:bCs/>
              </w:rPr>
              <w:t xml:space="preserve">$4.71B</w:t>
            </w:r>
          </w:p>
        </w:tc>
        <w:tc>
          <w:tcPr/>
          <w:p>
            <w:pPr>
              <w:pStyle w:val="Compact"/>
              <w:jc w:val="right"/>
            </w:pPr>
            <w:r>
              <w:t xml:space="preserve">$4.30B</w:t>
            </w:r>
          </w:p>
        </w:tc>
        <w:tc>
          <w:tcPr/>
          <w:p>
            <w:pPr>
              <w:pStyle w:val="Compact"/>
              <w:jc w:val="right"/>
            </w:pPr>
            <w:r>
              <w:rPr>
                <w:b/>
                <w:bCs/>
              </w:rPr>
              <w:t xml:space="preserve">~9%</w:t>
            </w:r>
          </w:p>
        </w:tc>
      </w:tr>
      <w:tr>
        <w:tc>
          <w:tcPr/>
          <w:p>
            <w:pPr>
              <w:pStyle w:val="Compact"/>
            </w:pPr>
            <w:r>
              <w:t xml:space="preserve">Diluted EPS</w:t>
            </w:r>
          </w:p>
        </w:tc>
        <w:tc>
          <w:tcPr/>
          <w:p>
            <w:pPr>
              <w:pStyle w:val="Compact"/>
              <w:jc w:val="right"/>
            </w:pPr>
            <w:r>
              <w:t xml:space="preserve">Approximately</w:t>
            </w:r>
            <w:r>
              <w:t xml:space="preserve"> </w:t>
            </w:r>
            <w:r>
              <w:rPr>
                <w:b/>
                <w:bCs/>
              </w:rPr>
              <w:t xml:space="preserve">$7.23</w:t>
            </w:r>
          </w:p>
        </w:tc>
        <w:tc>
          <w:tcPr/>
          <w:p>
            <w:pPr>
              <w:pStyle w:val="Compact"/>
              <w:jc w:val="right"/>
            </w:pPr>
            <w:r>
              <w:t xml:space="preserve">$6.72</w:t>
            </w:r>
          </w:p>
        </w:tc>
        <w:tc>
          <w:tcPr/>
          <w:p>
            <w:pPr>
              <w:pStyle w:val="Compact"/>
              <w:jc w:val="right"/>
            </w:pPr>
            <w:r>
              <w:rPr>
                <w:b/>
                <w:bCs/>
              </w:rPr>
              <w:t xml:space="preserve">~8%</w:t>
            </w:r>
          </w:p>
        </w:tc>
      </w:tr>
    </w:tbl>
    <w:p>
      <w:pPr>
        <w:pStyle w:val="BodyText"/>
      </w:pPr>
      <w:r>
        <w:t xml:space="preserve">Published estimates vary slightly, with EPS forecasts generally around</w:t>
      </w:r>
      <w:r>
        <w:t xml:space="preserve"> </w:t>
      </w:r>
      <m:oMath>
        <m:r>
          <m:t>7.23</m:t>
        </m:r>
        <m:r>
          <m:rPr>
            <m:sty m:val="p"/>
          </m:rPr>
          <m:t>–</m:t>
        </m:r>
      </m:oMath>
      <w:r>
        <w:t xml:space="preserve">7.31 and revenue around</w:t>
      </w:r>
      <w:r>
        <w:t xml:space="preserve"> </w:t>
      </w:r>
      <m:oMath>
        <m:r>
          <m:t>4.71</m:t>
        </m:r>
        <m:r>
          <m:t>B</m:t>
        </m:r>
        <m:r>
          <m:rPr>
            <m:sty m:val="p"/>
          </m:rPr>
          <m:t>–</m:t>
        </m:r>
      </m:oMath>
      <w:r>
        <w:t xml:space="preserve">4.76B. Barchart’s four-estimate range is</w:t>
      </w:r>
      <w:r>
        <w:t xml:space="preserve"> </w:t>
      </w:r>
      <m:oMath>
        <m:r>
          <m:t>7.11</m:t>
        </m:r>
        <m:r>
          <m:rPr>
            <m:sty m:val="p"/>
          </m:rPr>
          <m:t>–</m:t>
        </m:r>
      </m:oMath>
      <w:r>
        <w:t xml:space="preserve">7.34, while its FY2026 consensus is $29.37. (</w:t>
      </w:r>
      <w:hyperlink r:id="rId11">
        <w:r>
          <w:rPr>
            <w:rStyle w:val="Hyperlink"/>
          </w:rPr>
          <w:t xml:space="preserve">benzinga.com</w:t>
        </w:r>
      </w:hyperlink>
      <w:r>
        <w:t xml:space="preserve">)</w:t>
      </w:r>
    </w:p>
    <w:p>
      <w:pPr>
        <w:pStyle w:val="BodyText"/>
      </w:pPr>
      <w:r>
        <w:t xml:space="preserve">The reported revenue comparison understates the underlying growth requirement because EMCOR sold its UK operation in December 2025. Excluding the approximately $135 million of UK revenue in Q2 2025, a $4.71 billion result would represent roughly</w:t>
      </w:r>
      <w:r>
        <w:t xml:space="preserve"> </w:t>
      </w:r>
      <w:r>
        <w:rPr>
          <w:b/>
          <w:bCs/>
        </w:rPr>
        <w:t xml:space="preserve">13% growth in the continuing U.S. business</w:t>
      </w:r>
      <w:r>
        <w:t xml:space="preserve">.</w:t>
      </w:r>
    </w:p>
    <w:bookmarkStart w:id="13" w:name="current-company-guidance"/>
    <w:p>
      <w:pPr>
        <w:pStyle w:val="Heading3"/>
      </w:pPr>
      <w:r>
        <w:t xml:space="preserve">Current company guidance</w:t>
      </w:r>
    </w:p>
    <w:p>
      <w:pPr>
        <w:pStyle w:val="Compact"/>
        <w:numPr>
          <w:ilvl w:val="0"/>
          <w:numId w:val="1002"/>
        </w:numPr>
      </w:pPr>
      <w:r>
        <w:rPr>
          <w:b/>
          <w:bCs/>
        </w:rPr>
        <w:t xml:space="preserve">Revenue:</w:t>
      </w:r>
      <w:r>
        <w:t xml:space="preserve"> </w:t>
      </w:r>
      <m:oMath>
        <m:r>
          <m:t>18.50</m:t>
        </m:r>
        <m:r>
          <m:t>B</m:t>
        </m:r>
        <m:r>
          <m:rPr>
            <m:sty m:val="p"/>
          </m:rPr>
          <m:t>–</m:t>
        </m:r>
      </m:oMath>
      <w:r>
        <w:t xml:space="preserve">19.25B</w:t>
      </w:r>
    </w:p>
    <w:p>
      <w:pPr>
        <w:pStyle w:val="Compact"/>
        <w:numPr>
          <w:ilvl w:val="0"/>
          <w:numId w:val="1002"/>
        </w:numPr>
      </w:pPr>
      <w:r>
        <w:rPr>
          <w:b/>
          <w:bCs/>
        </w:rPr>
        <w:t xml:space="preserve">Diluted EPS:</w:t>
      </w:r>
      <w:r>
        <w:t xml:space="preserve"> </w:t>
      </w:r>
      <m:oMath>
        <m:r>
          <m:t>28.25</m:t>
        </m:r>
        <m:r>
          <m:rPr>
            <m:sty m:val="p"/>
          </m:rPr>
          <m:t>–</m:t>
        </m:r>
      </m:oMath>
      <w:r>
        <w:t xml:space="preserve">29.75</w:t>
      </w:r>
    </w:p>
    <w:p>
      <w:pPr>
        <w:pStyle w:val="FirstParagraph"/>
      </w:pPr>
      <w:r>
        <w:t xml:space="preserve">EMCOR raised both ranges after Q1, when it reported revenue of $4.63 billion, EPS of $6.84 and RPOs of $15.62 billion. (</w:t>
      </w:r>
      <w:hyperlink r:id="rId12">
        <w:r>
          <w:rPr>
            <w:rStyle w:val="Hyperlink"/>
          </w:rPr>
          <w:t xml:space="preserve">emcorgroup.com</w:t>
        </w:r>
      </w:hyperlink>
      <w:r>
        <w:t xml:space="preserve">)</w:t>
      </w:r>
    </w:p>
    <w:p>
      <w:pPr>
        <w:pStyle w:val="BodyText"/>
      </w:pPr>
      <w:r>
        <w:t xml:space="preserve">At the respective midpoints, the guidance requires approximately:</w:t>
      </w:r>
    </w:p>
    <w:p>
      <w:pPr>
        <w:pStyle w:val="Compact"/>
        <w:numPr>
          <w:ilvl w:val="0"/>
          <w:numId w:val="1003"/>
        </w:numPr>
      </w:pPr>
      <w:r>
        <w:rPr>
          <w:b/>
          <w:bCs/>
        </w:rPr>
        <w:t xml:space="preserve">$4.75 billion of average quarterly revenue over Q2–Q4</w:t>
      </w:r>
    </w:p>
    <w:p>
      <w:pPr>
        <w:pStyle w:val="Compact"/>
        <w:numPr>
          <w:ilvl w:val="0"/>
          <w:numId w:val="1003"/>
        </w:numPr>
      </w:pPr>
      <w:r>
        <w:rPr>
          <w:b/>
          <w:bCs/>
        </w:rPr>
        <w:t xml:space="preserve">$7.39 of average quarterly EPS over Q2–Q4</w:t>
      </w:r>
    </w:p>
    <w:p>
      <w:pPr>
        <w:pStyle w:val="FirstParagraph"/>
      </w:pPr>
      <w:r>
        <w:t xml:space="preserve">That means consensus Q2 revenue is slightly below the quarterly run rate needed to reach the annual midpoint, while consensus EPS is also below the remaining-quarter average. Seasonality and quarterly project timing make this an imperfect comparison, but it highlights why the outlook will matter at least as much as Q2’s reported numbers.</w:t>
      </w:r>
    </w:p>
    <w:p>
      <w:r>
        <w:pict>
          <v:rect style="width:0;height:1.5pt" o:hralign="center" o:hrstd="t" o:hr="t"/>
        </w:pict>
      </w:r>
    </w:p>
    <w:bookmarkEnd w:id="13"/>
    <w:bookmarkEnd w:id="14"/>
    <w:bookmarkStart w:id="16" w:name="X871f846b5d771d6f2e77cee9c4f0eb5566690d3"/>
    <w:p>
      <w:pPr>
        <w:pStyle w:val="Heading2"/>
      </w:pPr>
      <w:r>
        <w:t xml:space="preserve">1. RPOs are the most important operating indicator</w:t>
      </w:r>
    </w:p>
    <w:p>
      <w:pPr>
        <w:pStyle w:val="FirstParagraph"/>
      </w:pPr>
      <w:r>
        <w:t xml:space="preserve">EMCOR ended Q1 with</w:t>
      </w:r>
      <w:r>
        <w:t xml:space="preserve"> </w:t>
      </w:r>
      <w:r>
        <w:rPr>
          <w:b/>
          <w:bCs/>
        </w:rPr>
        <w:t xml:space="preserve">$15.62 billion of RPOs</w:t>
      </w:r>
      <w:r>
        <w:t xml:space="preserve">, up:</w:t>
      </w:r>
    </w:p>
    <w:p>
      <w:pPr>
        <w:pStyle w:val="Compact"/>
        <w:numPr>
          <w:ilvl w:val="0"/>
          <w:numId w:val="1004"/>
        </w:numPr>
      </w:pPr>
      <w:r>
        <w:t xml:space="preserve">32.9% year over year</w:t>
      </w:r>
    </w:p>
    <w:p>
      <w:pPr>
        <w:pStyle w:val="Compact"/>
        <w:numPr>
          <w:ilvl w:val="0"/>
          <w:numId w:val="1004"/>
        </w:numPr>
      </w:pPr>
      <w:r>
        <w:t xml:space="preserve">17.9% sequentially</w:t>
      </w:r>
    </w:p>
    <w:p>
      <w:pPr>
        <w:pStyle w:val="Compact"/>
        <w:numPr>
          <w:ilvl w:val="0"/>
          <w:numId w:val="1004"/>
        </w:numPr>
      </w:pPr>
      <w:r>
        <w:t xml:space="preserve">Approximately $2.37 billion from year-end</w:t>
      </w:r>
    </w:p>
    <w:p>
      <w:pPr>
        <w:pStyle w:val="FirstParagraph"/>
      </w:pPr>
      <w:r>
        <w:t xml:space="preserve">Q1 book-to-bill was roughly 1.5x, driven by data centers, water and wastewater, institutional and healthcare awards. Electrical RPOs were $5.61 billion and mechanical RPOs were $8.56 billion, meaning mechanical represented about 55% of the total.</w:t>
      </w:r>
    </w:p>
    <w:p>
      <w:pPr>
        <w:pStyle w:val="BodyText"/>
      </w:pPr>
      <w:r>
        <w:t xml:space="preserve">Management has repeatedly warned that bookings are lumpy, so another sequential increase of Q1’s magnitude is unrealistic. The better questions are:</w:t>
      </w:r>
    </w:p>
    <w:p>
      <w:pPr>
        <w:pStyle w:val="Compact"/>
        <w:numPr>
          <w:ilvl w:val="0"/>
          <w:numId w:val="1005"/>
        </w:numPr>
      </w:pPr>
      <w:r>
        <w:t xml:space="preserve">Did RPOs remain near or above $15.6 billion after Q2 revenue conversion?</w:t>
      </w:r>
    </w:p>
    <w:p>
      <w:pPr>
        <w:pStyle w:val="Compact"/>
        <w:numPr>
          <w:ilvl w:val="0"/>
          <w:numId w:val="1005"/>
        </w:numPr>
      </w:pPr>
      <w:r>
        <w:t xml:space="preserve">Is data-center demand still accelerating, or merely holding at elevated levels?</w:t>
      </w:r>
    </w:p>
    <w:p>
      <w:pPr>
        <w:pStyle w:val="Compact"/>
        <w:numPr>
          <w:ilvl w:val="0"/>
          <w:numId w:val="1005"/>
        </w:numPr>
      </w:pPr>
      <w:r>
        <w:t xml:space="preserve">Are awards broadening beyond data centers?</w:t>
      </w:r>
    </w:p>
    <w:p>
      <w:pPr>
        <w:pStyle w:val="Compact"/>
        <w:numPr>
          <w:ilvl w:val="0"/>
          <w:numId w:val="1005"/>
        </w:numPr>
      </w:pPr>
      <w:r>
        <w:t xml:space="preserve">How much of the book will convert during 2026 versus 2027?</w:t>
      </w:r>
    </w:p>
    <w:p>
      <w:pPr>
        <w:pStyle w:val="Compact"/>
        <w:numPr>
          <w:ilvl w:val="0"/>
          <w:numId w:val="1005"/>
        </w:numPr>
      </w:pPr>
      <w:r>
        <w:t xml:space="preserve">Are new awards predominantly fixed-price, GMP or cost-plus?</w:t>
      </w:r>
    </w:p>
    <w:bookmarkStart w:id="15" w:name="how-to-interpret-the-number"/>
    <w:p>
      <w:pPr>
        <w:pStyle w:val="Heading3"/>
      </w:pPr>
      <w:r>
        <w:t xml:space="preserve">How to interpret the number</w:t>
      </w:r>
    </w:p>
    <w:p>
      <w:pPr>
        <w:pStyle w:val="Compact"/>
        <w:numPr>
          <w:ilvl w:val="0"/>
          <w:numId w:val="1006"/>
        </w:numPr>
      </w:pPr>
      <w:r>
        <w:rPr>
          <w:b/>
          <w:bCs/>
        </w:rPr>
        <w:t xml:space="preserve">Clearly positive:</w:t>
      </w:r>
      <w:r>
        <w:t xml:space="preserve"> </w:t>
      </w:r>
      <w:r>
        <w:t xml:space="preserve">RPOs above approximately $16 billion, accompanied by continued broad-based awards.</w:t>
      </w:r>
    </w:p>
    <w:p>
      <w:pPr>
        <w:pStyle w:val="Compact"/>
        <w:numPr>
          <w:ilvl w:val="0"/>
          <w:numId w:val="1006"/>
        </w:numPr>
      </w:pPr>
      <w:r>
        <w:rPr>
          <w:b/>
          <w:bCs/>
        </w:rPr>
        <w:t xml:space="preserve">Acceptable:</w:t>
      </w:r>
      <w:r>
        <w:t xml:space="preserve"> </w:t>
      </w:r>
      <w:r>
        <w:t xml:space="preserve">Modest sequential movement but strong year-over-year growth and unchanged demand commentary.</w:t>
      </w:r>
    </w:p>
    <w:p>
      <w:pPr>
        <w:pStyle w:val="Compact"/>
        <w:numPr>
          <w:ilvl w:val="0"/>
          <w:numId w:val="1006"/>
        </w:numPr>
      </w:pPr>
      <w:r>
        <w:rPr>
          <w:b/>
          <w:bCs/>
        </w:rPr>
        <w:t xml:space="preserve">Concerning:</w:t>
      </w:r>
      <w:r>
        <w:t xml:space="preserve"> </w:t>
      </w:r>
      <w:r>
        <w:t xml:space="preserve">A material sequential decline coupled with slower project starts or weaker data-center pipeline commentary.</w:t>
      </w:r>
    </w:p>
    <w:p>
      <w:pPr>
        <w:pStyle w:val="FirstParagraph"/>
      </w:pPr>
      <w:r>
        <w:t xml:space="preserve">A lower RPO balance would not automatically indicate weaker demand—the timing of large awards can distort the quarter—but management would need to explain the burn and replenishment cadence convincingly.</w:t>
      </w:r>
    </w:p>
    <w:p>
      <w:r>
        <w:pict>
          <v:rect style="width:0;height:1.5pt" o:hralign="center" o:hrstd="t" o:hr="t"/>
        </w:pict>
      </w:r>
    </w:p>
    <w:bookmarkEnd w:id="15"/>
    <w:bookmarkEnd w:id="16"/>
    <w:bookmarkStart w:id="18" w:name="X7e15347a62c3a118c21abdabfae24b9bf623a99"/>
    <w:p>
      <w:pPr>
        <w:pStyle w:val="Heading2"/>
      </w:pPr>
      <w:r>
        <w:t xml:space="preserve">2. Mechanical margin is the key earnings debate</w:t>
      </w:r>
    </w:p>
    <w:p>
      <w:pPr>
        <w:pStyle w:val="FirstParagraph"/>
      </w:pPr>
      <w:r>
        <w:t xml:space="preserve">Q1’s construction performance was strong in dollars, but the mix changed:</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Segment</w:t>
            </w:r>
          </w:p>
        </w:tc>
        <w:tc>
          <w:tcPr/>
          <w:p>
            <w:pPr>
              <w:pStyle w:val="Compact"/>
              <w:jc w:val="right"/>
            </w:pPr>
            <w:r>
              <w:t xml:space="preserve">Q1 2026 revenue growth</w:t>
            </w:r>
          </w:p>
        </w:tc>
        <w:tc>
          <w:tcPr/>
          <w:p>
            <w:pPr>
              <w:pStyle w:val="Compact"/>
              <w:jc w:val="right"/>
            </w:pPr>
            <w:r>
              <w:t xml:space="preserve">Q1 2026 operating margin</w:t>
            </w:r>
          </w:p>
        </w:tc>
        <w:tc>
          <w:tcPr/>
          <w:p>
            <w:pPr>
              <w:pStyle w:val="Compact"/>
              <w:jc w:val="right"/>
            </w:pPr>
            <w:r>
              <w:t xml:space="preserve">Q1 2025 margin</w:t>
            </w:r>
          </w:p>
        </w:tc>
      </w:tr>
      <w:tr>
        <w:tc>
          <w:tcPr/>
          <w:p>
            <w:pPr>
              <w:pStyle w:val="Compact"/>
            </w:pPr>
            <w:r>
              <w:t xml:space="preserve">Electrical construction</w:t>
            </w:r>
          </w:p>
        </w:tc>
        <w:tc>
          <w:tcPr/>
          <w:p>
            <w:pPr>
              <w:pStyle w:val="Compact"/>
              <w:jc w:val="right"/>
            </w:pPr>
            <w:r>
              <w:t xml:space="preserve">33.1%</w:t>
            </w:r>
          </w:p>
        </w:tc>
        <w:tc>
          <w:tcPr/>
          <w:p>
            <w:pPr>
              <w:pStyle w:val="Compact"/>
              <w:jc w:val="right"/>
            </w:pPr>
            <w:r>
              <w:t xml:space="preserve">12.1%</w:t>
            </w:r>
          </w:p>
        </w:tc>
        <w:tc>
          <w:tcPr/>
          <w:p>
            <w:pPr>
              <w:pStyle w:val="Compact"/>
              <w:jc w:val="right"/>
            </w:pPr>
            <w:r>
              <w:t xml:space="preserve">12.5%</w:t>
            </w:r>
          </w:p>
        </w:tc>
      </w:tr>
      <w:tr>
        <w:tc>
          <w:tcPr/>
          <w:p>
            <w:pPr>
              <w:pStyle w:val="Compact"/>
            </w:pPr>
            <w:r>
              <w:t xml:space="preserve">Mechanical construction</w:t>
            </w:r>
          </w:p>
        </w:tc>
        <w:tc>
          <w:tcPr/>
          <w:p>
            <w:pPr>
              <w:pStyle w:val="Compact"/>
              <w:jc w:val="right"/>
            </w:pPr>
            <w:r>
              <w:t xml:space="preserve">28.9%</w:t>
            </w:r>
          </w:p>
        </w:tc>
        <w:tc>
          <w:tcPr/>
          <w:p>
            <w:pPr>
              <w:pStyle w:val="Compact"/>
              <w:jc w:val="right"/>
            </w:pPr>
            <w:r>
              <w:t xml:space="preserve">10.9%</w:t>
            </w:r>
          </w:p>
        </w:tc>
        <w:tc>
          <w:tcPr/>
          <w:p>
            <w:pPr>
              <w:pStyle w:val="Compact"/>
              <w:jc w:val="right"/>
            </w:pPr>
            <w:r>
              <w:t xml:space="preserve">11.9%</w:t>
            </w:r>
          </w:p>
        </w:tc>
      </w:tr>
      <w:tr>
        <w:tc>
          <w:tcPr/>
          <w:p>
            <w:pPr>
              <w:pStyle w:val="Compact"/>
            </w:pPr>
            <w:r>
              <w:t xml:space="preserve">Building services</w:t>
            </w:r>
          </w:p>
        </w:tc>
        <w:tc>
          <w:tcPr/>
          <w:p>
            <w:pPr>
              <w:pStyle w:val="Compact"/>
              <w:jc w:val="right"/>
            </w:pPr>
            <w:r>
              <w:t xml:space="preserve">4.0%</w:t>
            </w:r>
          </w:p>
        </w:tc>
        <w:tc>
          <w:tcPr/>
          <w:p>
            <w:pPr>
              <w:pStyle w:val="Compact"/>
              <w:jc w:val="right"/>
            </w:pPr>
            <w:r>
              <w:t xml:space="preserve">5.2%</w:t>
            </w:r>
          </w:p>
        </w:tc>
        <w:tc>
          <w:tcPr/>
          <w:p>
            <w:pPr>
              <w:pStyle w:val="Compact"/>
              <w:jc w:val="right"/>
            </w:pPr>
            <w:r>
              <w:t xml:space="preserve">4.9%</w:t>
            </w:r>
          </w:p>
        </w:tc>
      </w:tr>
      <w:tr>
        <w:tc>
          <w:tcPr/>
          <w:p>
            <w:pPr>
              <w:pStyle w:val="Compact"/>
            </w:pPr>
            <w:r>
              <w:t xml:space="preserve">Industrial services</w:t>
            </w:r>
          </w:p>
        </w:tc>
        <w:tc>
          <w:tcPr/>
          <w:p>
            <w:pPr>
              <w:pStyle w:val="Compact"/>
              <w:jc w:val="right"/>
            </w:pPr>
            <w:r>
              <w:t xml:space="preserve">6.4%</w:t>
            </w:r>
          </w:p>
        </w:tc>
        <w:tc>
          <w:tcPr/>
          <w:p>
            <w:pPr>
              <w:pStyle w:val="Compact"/>
              <w:jc w:val="right"/>
            </w:pPr>
            <w:r>
              <w:t xml:space="preserve">3.3%</w:t>
            </w:r>
          </w:p>
        </w:tc>
        <w:tc>
          <w:tcPr/>
          <w:p>
            <w:pPr>
              <w:pStyle w:val="Compact"/>
              <w:jc w:val="right"/>
            </w:pPr>
            <w:r>
              <w:t xml:space="preserve">1.9%</w:t>
            </w:r>
          </w:p>
        </w:tc>
      </w:tr>
    </w:tbl>
    <w:p>
      <w:pPr>
        <w:pStyle w:val="BodyText"/>
      </w:pPr>
      <w:r>
        <w:t xml:space="preserve">Mechanical’s margin declined because of:</w:t>
      </w:r>
    </w:p>
    <w:p>
      <w:pPr>
        <w:pStyle w:val="Compact"/>
        <w:numPr>
          <w:ilvl w:val="0"/>
          <w:numId w:val="1007"/>
        </w:numPr>
      </w:pPr>
      <w:r>
        <w:t xml:space="preserve">More construction-manager and prime-contractor work</w:t>
      </w:r>
    </w:p>
    <w:p>
      <w:pPr>
        <w:pStyle w:val="Compact"/>
        <w:numPr>
          <w:ilvl w:val="0"/>
          <w:numId w:val="1007"/>
        </w:numPr>
      </w:pPr>
      <w:r>
        <w:t xml:space="preserve">Higher equipment and subcontractor content</w:t>
      </w:r>
    </w:p>
    <w:p>
      <w:pPr>
        <w:pStyle w:val="Compact"/>
        <w:numPr>
          <w:ilvl w:val="0"/>
          <w:numId w:val="1007"/>
        </w:numPr>
      </w:pPr>
      <w:r>
        <w:t xml:space="preserve">More GMP and cost-plus contracts</w:t>
      </w:r>
    </w:p>
    <w:p>
      <w:pPr>
        <w:pStyle w:val="Compact"/>
        <w:numPr>
          <w:ilvl w:val="0"/>
          <w:numId w:val="1007"/>
        </w:numPr>
      </w:pPr>
      <w:r>
        <w:t xml:space="preserve">Expansion into newer geographies</w:t>
      </w:r>
    </w:p>
    <w:p>
      <w:pPr>
        <w:pStyle w:val="Compact"/>
        <w:numPr>
          <w:ilvl w:val="0"/>
          <w:numId w:val="1007"/>
        </w:numPr>
      </w:pPr>
      <w:r>
        <w:t xml:space="preserve">Projects whose designs and scopes were still evolving</w:t>
      </w:r>
    </w:p>
    <w:p>
      <w:pPr>
        <w:pStyle w:val="Compact"/>
        <w:numPr>
          <w:ilvl w:val="0"/>
          <w:numId w:val="1007"/>
        </w:numPr>
      </w:pPr>
      <w:r>
        <w:t xml:space="preserve">Greater food-processing and water/wastewater activity, which tends to carry lower percentage margins</w:t>
      </w:r>
    </w:p>
    <w:p>
      <w:pPr>
        <w:pStyle w:val="FirstParagraph"/>
      </w:pPr>
      <w:r>
        <w:t xml:space="preserve">These contracts can still generate attractive margin dollars and returns on capital, but they reduce reported margin percentages.</w:t>
      </w:r>
    </w:p>
    <w:bookmarkStart w:id="17" w:name="the-difficult-q2-comparison"/>
    <w:p>
      <w:pPr>
        <w:pStyle w:val="Heading3"/>
      </w:pPr>
      <w:r>
        <w:t xml:space="preserve">The difficult Q2 comparison</w:t>
      </w:r>
    </w:p>
    <w:p>
      <w:pPr>
        <w:pStyle w:val="FirstParagraph"/>
      </w:pPr>
      <w:r>
        <w:t xml:space="preserve">Q2 2025 was an exceptional quarter:</w:t>
      </w:r>
    </w:p>
    <w:p>
      <w:pPr>
        <w:pStyle w:val="Compact"/>
        <w:numPr>
          <w:ilvl w:val="0"/>
          <w:numId w:val="1008"/>
        </w:numPr>
      </w:pPr>
      <w:r>
        <w:t xml:space="preserve">Consolidated operating margin:</w:t>
      </w:r>
      <w:r>
        <w:t xml:space="preserve"> </w:t>
      </w:r>
      <w:r>
        <w:rPr>
          <w:b/>
          <w:bCs/>
        </w:rPr>
        <w:t xml:space="preserve">9.6%</w:t>
      </w:r>
    </w:p>
    <w:p>
      <w:pPr>
        <w:pStyle w:val="Compact"/>
        <w:numPr>
          <w:ilvl w:val="0"/>
          <w:numId w:val="1008"/>
        </w:numPr>
      </w:pPr>
      <w:r>
        <w:t xml:space="preserve">Electrical margin:</w:t>
      </w:r>
      <w:r>
        <w:t xml:space="preserve"> </w:t>
      </w:r>
      <w:r>
        <w:rPr>
          <w:b/>
          <w:bCs/>
        </w:rPr>
        <w:t xml:space="preserve">11.8%</w:t>
      </w:r>
    </w:p>
    <w:p>
      <w:pPr>
        <w:pStyle w:val="Compact"/>
        <w:numPr>
          <w:ilvl w:val="0"/>
          <w:numId w:val="1008"/>
        </w:numPr>
      </w:pPr>
      <w:r>
        <w:t xml:space="preserve">Mechanical margin:</w:t>
      </w:r>
      <w:r>
        <w:t xml:space="preserve"> </w:t>
      </w:r>
      <w:r>
        <w:rPr>
          <w:b/>
          <w:bCs/>
        </w:rPr>
        <w:t xml:space="preserve">13.6%</w:t>
      </w:r>
    </w:p>
    <w:p>
      <w:pPr>
        <w:pStyle w:val="Compact"/>
        <w:numPr>
          <w:ilvl w:val="0"/>
          <w:numId w:val="1008"/>
        </w:numPr>
      </w:pPr>
      <w:r>
        <w:t xml:space="preserve">Building-services margin:</w:t>
      </w:r>
      <w:r>
        <w:t xml:space="preserve"> </w:t>
      </w:r>
      <w:r>
        <w:rPr>
          <w:b/>
          <w:bCs/>
        </w:rPr>
        <w:t xml:space="preserve">6.3%</w:t>
      </w:r>
    </w:p>
    <w:p>
      <w:pPr>
        <w:pStyle w:val="FirstParagraph"/>
      </w:pPr>
      <w:r>
        <w:t xml:space="preserve">Investors should therefore expect year-over-year mechanical-margin compression. The issue is its magnitude.</w:t>
      </w:r>
    </w:p>
    <w:p>
      <w:pPr>
        <w:pStyle w:val="BodyText"/>
      </w:pPr>
      <w:r>
        <w:t xml:space="preserve">A mechanical margin holding around or above the recent 11% area would indicate that project execution remains sound despite the mix shift. A result approaching 10% or below would raise questions about whether rapid growth, newer geographies or contract structures are creating more persistent dilution.</w:t>
      </w:r>
    </w:p>
    <w:p>
      <w:pPr>
        <w:pStyle w:val="BodyText"/>
      </w:pPr>
      <w:r>
        <w:t xml:space="preserve">Electrical should be more resilient, although Miller-related intangible amortization remains a headwind to the reported segment margin.</w:t>
      </w:r>
    </w:p>
    <w:p>
      <w:r>
        <w:pict>
          <v:rect style="width:0;height:1.5pt" o:hralign="center" o:hrstd="t" o:hr="t"/>
        </w:pict>
      </w:r>
    </w:p>
    <w:bookmarkEnd w:id="17"/>
    <w:bookmarkEnd w:id="18"/>
    <w:bookmarkStart w:id="23" w:name="Xe8dd6aa95f61cca591b257dfd27f5ced2557ab1"/>
    <w:p>
      <w:pPr>
        <w:pStyle w:val="Heading2"/>
      </w:pPr>
      <w:r>
        <w:t xml:space="preserve">3. Data-center growth needs to remain strong—but not become the entire thesis</w:t>
      </w:r>
    </w:p>
    <w:p>
      <w:pPr>
        <w:pStyle w:val="FirstParagraph"/>
      </w:pPr>
      <w:r>
        <w:t xml:space="preserve">In Q1, network-and-communications revenue increased approximately:</w:t>
      </w:r>
    </w:p>
    <w:p>
      <w:pPr>
        <w:pStyle w:val="Compact"/>
        <w:numPr>
          <w:ilvl w:val="0"/>
          <w:numId w:val="1009"/>
        </w:numPr>
      </w:pPr>
      <w:r>
        <w:rPr>
          <w:b/>
          <w:bCs/>
        </w:rPr>
        <w:t xml:space="preserve">50% in electrical</w:t>
      </w:r>
    </w:p>
    <w:p>
      <w:pPr>
        <w:pStyle w:val="Compact"/>
        <w:numPr>
          <w:ilvl w:val="0"/>
          <w:numId w:val="1009"/>
        </w:numPr>
      </w:pPr>
      <w:r>
        <w:rPr>
          <w:b/>
          <w:bCs/>
        </w:rPr>
        <w:t xml:space="preserve">86% in mechanical</w:t>
      </w:r>
    </w:p>
    <w:p>
      <w:pPr>
        <w:pStyle w:val="FirstParagraph"/>
      </w:pPr>
      <w:r>
        <w:t xml:space="preserve">Management said it saw no slowdown in data-center demand, citing AI infrastructure, cloud investment and higher cooling requirements, including liquid cooling.</w:t>
      </w:r>
    </w:p>
    <w:p>
      <w:pPr>
        <w:pStyle w:val="BodyText"/>
      </w:pPr>
      <w:r>
        <w:t xml:space="preserve">The Q2 call should provide evidence on four points:</w:t>
      </w:r>
    </w:p>
    <w:bookmarkStart w:id="19" w:name="project-mobilization"/>
    <w:p>
      <w:pPr>
        <w:pStyle w:val="Heading3"/>
      </w:pPr>
      <w:r>
        <w:t xml:space="preserve">Project mobilization</w:t>
      </w:r>
    </w:p>
    <w:p>
      <w:pPr>
        <w:pStyle w:val="FirstParagraph"/>
      </w:pPr>
      <w:r>
        <w:t xml:space="preserve">EMCOR booked significant work in Q1. Revenue growth now depends on how quickly it can assemble teams, mobilize sites and begin recognizing revenue.</w:t>
      </w:r>
    </w:p>
    <w:bookmarkEnd w:id="19"/>
    <w:bookmarkStart w:id="20" w:name="electrical-versus-mechanical-scope"/>
    <w:p>
      <w:pPr>
        <w:pStyle w:val="Heading3"/>
      </w:pPr>
      <w:r>
        <w:t xml:space="preserve">Electrical versus mechanical scope</w:t>
      </w:r>
    </w:p>
    <w:p>
      <w:pPr>
        <w:pStyle w:val="FirstParagraph"/>
      </w:pPr>
      <w:r>
        <w:t xml:space="preserve">The AI buildout is increasing mechanical intensity through cooling and heat-management requirements. Investors should listen for whether mechanical scope continues to grow faster than electrical scope and what that means for contract mix.</w:t>
      </w:r>
    </w:p>
    <w:bookmarkEnd w:id="20"/>
    <w:bookmarkStart w:id="21" w:name="customer-and-geographic-concentration"/>
    <w:p>
      <w:pPr>
        <w:pStyle w:val="Heading3"/>
      </w:pPr>
      <w:r>
        <w:t xml:space="preserve">Customer and geographic concentration</w:t>
      </w:r>
    </w:p>
    <w:p>
      <w:pPr>
        <w:pStyle w:val="FirstParagraph"/>
      </w:pPr>
      <w:r>
        <w:t xml:space="preserve">EMCOR operates through local subsidiaries and generally avoids bundling electrical and mechanical bids. Its ability to expand successfully depends on transporting expertise and developing local field leadership without overcommitting to one customer or market.</w:t>
      </w:r>
    </w:p>
    <w:bookmarkEnd w:id="21"/>
    <w:bookmarkStart w:id="22" w:name="duration"/>
    <w:p>
      <w:pPr>
        <w:pStyle w:val="Heading3"/>
      </w:pPr>
      <w:r>
        <w:t xml:space="preserve">Duration</w:t>
      </w:r>
    </w:p>
    <w:p>
      <w:pPr>
        <w:pStyle w:val="FirstParagraph"/>
      </w:pPr>
      <w:r>
        <w:t xml:space="preserve">At Q1, management estimated that roughly 78% of RPOs would convert within 12 months. A meaningful extension into 2027 would improve visibility, although it could also make near-term revenue more dependent on project scheduling.</w:t>
      </w:r>
    </w:p>
    <w:p>
      <w:r>
        <w:pict>
          <v:rect style="width:0;height:1.5pt" o:hralign="center" o:hrstd="t" o:hr="t"/>
        </w:pict>
      </w:r>
    </w:p>
    <w:bookmarkEnd w:id="22"/>
    <w:bookmarkEnd w:id="23"/>
    <w:bookmarkStart w:id="28" w:name="X9da2d9114e375d72e025e8b44a050f89e98ba9e"/>
    <w:p>
      <w:pPr>
        <w:pStyle w:val="Heading2"/>
      </w:pPr>
      <w:r>
        <w:t xml:space="preserve">4. Guidance: the market probably expects another increase</w:t>
      </w:r>
    </w:p>
    <w:p>
      <w:pPr>
        <w:pStyle w:val="FirstParagraph"/>
      </w:pPr>
      <w:r>
        <w:t xml:space="preserve">Management raised guidance after Q1, but subsequent consensus has moved toward the upper half of the EPS range:</w:t>
      </w:r>
    </w:p>
    <w:p>
      <w:pPr>
        <w:pStyle w:val="Compact"/>
        <w:numPr>
          <w:ilvl w:val="0"/>
          <w:numId w:val="1010"/>
        </w:numPr>
      </w:pPr>
      <w:r>
        <w:t xml:space="preserve">FY2026 EPS guidance midpoint:</w:t>
      </w:r>
      <w:r>
        <w:t xml:space="preserve"> </w:t>
      </w:r>
      <w:r>
        <w:rPr>
          <w:b/>
          <w:bCs/>
        </w:rPr>
        <w:t xml:space="preserve">$29.00</w:t>
      </w:r>
    </w:p>
    <w:p>
      <w:pPr>
        <w:pStyle w:val="Compact"/>
        <w:numPr>
          <w:ilvl w:val="0"/>
          <w:numId w:val="1010"/>
        </w:numPr>
      </w:pPr>
      <w:r>
        <w:t xml:space="preserve">Current published FY2026 consensus: approximately</w:t>
      </w:r>
      <w:r>
        <w:t xml:space="preserve"> </w:t>
      </w:r>
      <w:r>
        <w:rPr>
          <w:b/>
          <w:bCs/>
        </w:rPr>
        <w:t xml:space="preserve">$29.37</w:t>
      </w:r>
    </w:p>
    <w:p>
      <w:pPr>
        <w:pStyle w:val="Compact"/>
        <w:numPr>
          <w:ilvl w:val="0"/>
          <w:numId w:val="1010"/>
        </w:numPr>
      </w:pPr>
      <w:r>
        <w:t xml:space="preserve">Guidance high end:</w:t>
      </w:r>
      <w:r>
        <w:t xml:space="preserve"> </w:t>
      </w:r>
      <w:r>
        <w:rPr>
          <w:b/>
          <w:bCs/>
        </w:rPr>
        <w:t xml:space="preserve">$29.75</w:t>
      </w:r>
      <w:r>
        <w:t xml:space="preserve"> </w:t>
      </w:r>
      <w:r>
        <w:t xml:space="preserve">(</w:t>
      </w:r>
      <w:hyperlink r:id="rId24">
        <w:r>
          <w:rPr>
            <w:rStyle w:val="Hyperlink"/>
          </w:rPr>
          <w:t xml:space="preserve">barchart.com</w:t>
        </w:r>
      </w:hyperlink>
      <w:r>
        <w:t xml:space="preserve">)</w:t>
      </w:r>
    </w:p>
    <w:p>
      <w:pPr>
        <w:pStyle w:val="FirstParagraph"/>
      </w:pPr>
      <w:r>
        <w:t xml:space="preserve">This suggests that</w:t>
      </w:r>
      <w:r>
        <w:t xml:space="preserve"> </w:t>
      </w:r>
      <w:r>
        <w:rPr>
          <w:b/>
          <w:bCs/>
        </w:rPr>
        <w:t xml:space="preserve">reaffirming guidance may be interpreted as conservative at best and disappointing at worst</w:t>
      </w:r>
      <w:r>
        <w:t xml:space="preserve">, unless Q2 bookings or margins weaken for understandable timing reasons.</w:t>
      </w:r>
    </w:p>
    <w:p>
      <w:pPr>
        <w:pStyle w:val="BodyText"/>
      </w:pPr>
      <w:r>
        <w:t xml:space="preserve">Possible guidance outcomes:</w:t>
      </w:r>
    </w:p>
    <w:bookmarkStart w:id="25" w:name="bullish"/>
    <w:p>
      <w:pPr>
        <w:pStyle w:val="Heading3"/>
      </w:pPr>
      <w:r>
        <w:t xml:space="preserve">Bullish</w:t>
      </w:r>
    </w:p>
    <w:p>
      <w:pPr>
        <w:pStyle w:val="Compact"/>
        <w:numPr>
          <w:ilvl w:val="0"/>
          <w:numId w:val="1011"/>
        </w:numPr>
      </w:pPr>
      <w:r>
        <w:t xml:space="preserve">Revenue range raised above the current $19.25 billion high end</w:t>
      </w:r>
    </w:p>
    <w:p>
      <w:pPr>
        <w:pStyle w:val="Compact"/>
        <w:numPr>
          <w:ilvl w:val="0"/>
          <w:numId w:val="1011"/>
        </w:numPr>
      </w:pPr>
      <w:r>
        <w:t xml:space="preserve">EPS high end moves above $30</w:t>
      </w:r>
    </w:p>
    <w:p>
      <w:pPr>
        <w:pStyle w:val="Compact"/>
        <w:numPr>
          <w:ilvl w:val="0"/>
          <w:numId w:val="1011"/>
        </w:numPr>
      </w:pPr>
      <w:r>
        <w:t xml:space="preserve">Continued confidence in approximately 9.4% full-year operating margins</w:t>
      </w:r>
    </w:p>
    <w:p>
      <w:pPr>
        <w:pStyle w:val="Compact"/>
        <w:numPr>
          <w:ilvl w:val="0"/>
          <w:numId w:val="1011"/>
        </w:numPr>
      </w:pPr>
      <w:r>
        <w:t xml:space="preserve">RPOs remain at record or near-record levels</w:t>
      </w:r>
    </w:p>
    <w:bookmarkEnd w:id="25"/>
    <w:bookmarkStart w:id="26" w:name="neutral"/>
    <w:p>
      <w:pPr>
        <w:pStyle w:val="Heading3"/>
      </w:pPr>
      <w:r>
        <w:t xml:space="preserve">Neutral</w:t>
      </w:r>
    </w:p>
    <w:p>
      <w:pPr>
        <w:pStyle w:val="Compact"/>
        <w:numPr>
          <w:ilvl w:val="0"/>
          <w:numId w:val="1012"/>
        </w:numPr>
      </w:pPr>
      <w:r>
        <w:t xml:space="preserve">Lower ends raised while high ends remain unchanged</w:t>
      </w:r>
    </w:p>
    <w:p>
      <w:pPr>
        <w:pStyle w:val="Compact"/>
        <w:numPr>
          <w:ilvl w:val="0"/>
          <w:numId w:val="1012"/>
        </w:numPr>
      </w:pPr>
      <w:r>
        <w:t xml:space="preserve">Management emphasizes project timing and preserves room for second-half variability</w:t>
      </w:r>
    </w:p>
    <w:p>
      <w:pPr>
        <w:pStyle w:val="Compact"/>
        <w:numPr>
          <w:ilvl w:val="0"/>
          <w:numId w:val="1012"/>
        </w:numPr>
      </w:pPr>
      <w:r>
        <w:t xml:space="preserve">Demand commentary remains strong</w:t>
      </w:r>
    </w:p>
    <w:bookmarkEnd w:id="26"/>
    <w:bookmarkStart w:id="27" w:name="bearish"/>
    <w:p>
      <w:pPr>
        <w:pStyle w:val="Heading3"/>
      </w:pPr>
      <w:r>
        <w:t xml:space="preserve">Bearish</w:t>
      </w:r>
    </w:p>
    <w:p>
      <w:pPr>
        <w:pStyle w:val="Compact"/>
        <w:numPr>
          <w:ilvl w:val="0"/>
          <w:numId w:val="1013"/>
        </w:numPr>
      </w:pPr>
      <w:r>
        <w:t xml:space="preserve">Full-year guidance is merely reiterated despite a material Q2 beat</w:t>
      </w:r>
    </w:p>
    <w:p>
      <w:pPr>
        <w:pStyle w:val="Compact"/>
        <w:numPr>
          <w:ilvl w:val="0"/>
          <w:numId w:val="1013"/>
        </w:numPr>
      </w:pPr>
      <w:r>
        <w:t xml:space="preserve">Revenue guidance is raised but EPS is not, implying incremental margin dilution</w:t>
      </w:r>
    </w:p>
    <w:p>
      <w:pPr>
        <w:pStyle w:val="Compact"/>
        <w:numPr>
          <w:ilvl w:val="0"/>
          <w:numId w:val="1013"/>
        </w:numPr>
      </w:pPr>
      <w:r>
        <w:t xml:space="preserve">Management lowers its margin expectations or cites project execution problems</w:t>
      </w:r>
    </w:p>
    <w:p>
      <w:pPr>
        <w:pStyle w:val="FirstParagraph"/>
      </w:pPr>
      <w:r>
        <w:t xml:space="preserve">The</w:t>
      </w:r>
      <w:r>
        <w:t xml:space="preserve"> </w:t>
      </w:r>
      <w:r>
        <w:rPr>
          <w:b/>
          <w:bCs/>
        </w:rPr>
        <w:t xml:space="preserve">relationship between the revenue and EPS revisions</w:t>
      </w:r>
      <w:r>
        <w:t xml:space="preserve"> </w:t>
      </w:r>
      <w:r>
        <w:t xml:space="preserve">will be particularly important. Revenue growth accompanied by little EPS upside would indicate that lower-margin mix is becoming more significant.</w:t>
      </w:r>
    </w:p>
    <w:p>
      <w:r>
        <w:pict>
          <v:rect style="width:0;height:1.5pt" o:hralign="center" o:hrstd="t" o:hr="t"/>
        </w:pict>
      </w:r>
    </w:p>
    <w:bookmarkEnd w:id="27"/>
    <w:bookmarkEnd w:id="28"/>
    <w:bookmarkStart w:id="29" w:name="Xee8fd54e98c4437453e1b0da24a848dd8297f51"/>
    <w:p>
      <w:pPr>
        <w:pStyle w:val="Heading2"/>
      </w:pPr>
      <w:r>
        <w:t xml:space="preserve">5. Cash conversion needs to start recovering</w:t>
      </w:r>
    </w:p>
    <w:p>
      <w:pPr>
        <w:pStyle w:val="FirstParagraph"/>
      </w:pPr>
      <w:r>
        <w:t xml:space="preserve">Q1 operating cash flow was essentially neutral despite $305 million of net income. Management attributed this to:</w:t>
      </w:r>
    </w:p>
    <w:p>
      <w:pPr>
        <w:pStyle w:val="Compact"/>
        <w:numPr>
          <w:ilvl w:val="0"/>
          <w:numId w:val="1014"/>
        </w:numPr>
      </w:pPr>
      <w:r>
        <w:t xml:space="preserve">Rapid organic growth and the associated increase in receivables</w:t>
      </w:r>
    </w:p>
    <w:p>
      <w:pPr>
        <w:pStyle w:val="Compact"/>
        <w:numPr>
          <w:ilvl w:val="0"/>
          <w:numId w:val="1014"/>
        </w:numPr>
      </w:pPr>
      <w:r>
        <w:t xml:space="preserve">Payment of prior-year incentive compensation</w:t>
      </w:r>
    </w:p>
    <w:p>
      <w:pPr>
        <w:pStyle w:val="Compact"/>
        <w:numPr>
          <w:ilvl w:val="0"/>
          <w:numId w:val="1014"/>
        </w:numPr>
      </w:pPr>
      <w:r>
        <w:t xml:space="preserve">Normal first-quarter seasonality</w:t>
      </w:r>
    </w:p>
    <w:p>
      <w:pPr>
        <w:pStyle w:val="FirstParagraph"/>
      </w:pPr>
      <w:r>
        <w:t xml:space="preserve">Management maintained its expectation for operating cash flow of at least 80% of operating income, with Q4 historically the strongest cash-generating quarter.</w:t>
      </w:r>
    </w:p>
    <w:p>
      <w:pPr>
        <w:pStyle w:val="BodyText"/>
      </w:pPr>
      <w:r>
        <w:t xml:space="preserve">Q2 does not need to deliver full-year conversion immediately, but investors should look for:</w:t>
      </w:r>
    </w:p>
    <w:p>
      <w:pPr>
        <w:pStyle w:val="Compact"/>
        <w:numPr>
          <w:ilvl w:val="0"/>
          <w:numId w:val="1015"/>
        </w:numPr>
      </w:pPr>
      <w:r>
        <w:t xml:space="preserve">Receivables beginning to convert into cash</w:t>
      </w:r>
    </w:p>
    <w:p>
      <w:pPr>
        <w:pStyle w:val="Compact"/>
        <w:numPr>
          <w:ilvl w:val="0"/>
          <w:numId w:val="1015"/>
        </w:numPr>
      </w:pPr>
      <w:r>
        <w:t xml:space="preserve">Stable contract assets and liabilities</w:t>
      </w:r>
    </w:p>
    <w:p>
      <w:pPr>
        <w:pStyle w:val="Compact"/>
        <w:numPr>
          <w:ilvl w:val="0"/>
          <w:numId w:val="1015"/>
        </w:numPr>
      </w:pPr>
      <w:r>
        <w:t xml:space="preserve">No meaningful rise in credit-loss provisions</w:t>
      </w:r>
    </w:p>
    <w:p>
      <w:pPr>
        <w:pStyle w:val="Compact"/>
        <w:numPr>
          <w:ilvl w:val="0"/>
          <w:numId w:val="1015"/>
        </w:numPr>
      </w:pPr>
      <w:r>
        <w:t xml:space="preserve">Confirmation of full-year cash-conversion expectations</w:t>
      </w:r>
    </w:p>
    <w:p>
      <w:pPr>
        <w:pStyle w:val="FirstParagraph"/>
      </w:pPr>
      <w:r>
        <w:t xml:space="preserve">Continued weak cash generation alongside rapid revenue growth would eventually raise questions about billing terms and the working-capital intensity of larger projects.</w:t>
      </w:r>
    </w:p>
    <w:p>
      <w:r>
        <w:pict>
          <v:rect style="width:0;height:1.5pt" o:hralign="center" o:hrstd="t" o:hr="t"/>
        </w:pict>
      </w:r>
    </w:p>
    <w:bookmarkEnd w:id="29"/>
    <w:bookmarkStart w:id="30" w:name="X95bfc8e124cbc883eb6a73eaa5abcd4312a7428"/>
    <w:p>
      <w:pPr>
        <w:pStyle w:val="Heading2"/>
      </w:pPr>
      <w:r>
        <w:t xml:space="preserve">6. Capacity—not demand—may be the binding constraint</w:t>
      </w:r>
    </w:p>
    <w:p>
      <w:pPr>
        <w:pStyle w:val="FirstParagraph"/>
      </w:pPr>
      <w:r>
        <w:t xml:space="preserve">Management has described the principal growth constraint as</w:t>
      </w:r>
      <w:r>
        <w:t xml:space="preserve"> </w:t>
      </w:r>
      <w:r>
        <w:rPr>
          <w:b/>
          <w:bCs/>
        </w:rPr>
        <w:t xml:space="preserve">field leadership</w:t>
      </w:r>
      <w:r>
        <w:t xml:space="preserve">, rather than the absolute availability of craft labor. EMCOR needs more:</w:t>
      </w:r>
    </w:p>
    <w:p>
      <w:pPr>
        <w:pStyle w:val="Compact"/>
        <w:numPr>
          <w:ilvl w:val="0"/>
          <w:numId w:val="1016"/>
        </w:numPr>
      </w:pPr>
      <w:r>
        <w:t xml:space="preserve">Foremen and general foremen</w:t>
      </w:r>
    </w:p>
    <w:p>
      <w:pPr>
        <w:pStyle w:val="Compact"/>
        <w:numPr>
          <w:ilvl w:val="0"/>
          <w:numId w:val="1016"/>
        </w:numPr>
      </w:pPr>
      <w:r>
        <w:t xml:space="preserve">Superintendents</w:t>
      </w:r>
    </w:p>
    <w:p>
      <w:pPr>
        <w:pStyle w:val="Compact"/>
        <w:numPr>
          <w:ilvl w:val="0"/>
          <w:numId w:val="1016"/>
        </w:numPr>
      </w:pPr>
      <w:r>
        <w:t xml:space="preserve">Project managers and project executives</w:t>
      </w:r>
    </w:p>
    <w:p>
      <w:pPr>
        <w:pStyle w:val="Compact"/>
        <w:numPr>
          <w:ilvl w:val="0"/>
          <w:numId w:val="1016"/>
        </w:numPr>
      </w:pPr>
      <w:r>
        <w:t xml:space="preserve">Estimators and other operational leaders</w:t>
      </w:r>
    </w:p>
    <w:p>
      <w:pPr>
        <w:pStyle w:val="FirstParagraph"/>
      </w:pPr>
      <w:r>
        <w:t xml:space="preserve">This matters because the company is simultaneously entering new geographies, taking larger scopes and executing faster-paced data-center projects.</w:t>
      </w:r>
    </w:p>
    <w:p>
      <w:pPr>
        <w:pStyle w:val="BodyText"/>
      </w:pPr>
      <w:r>
        <w:t xml:space="preserve">Key questions for the call:</w:t>
      </w:r>
    </w:p>
    <w:p>
      <w:pPr>
        <w:pStyle w:val="Compact"/>
        <w:numPr>
          <w:ilvl w:val="0"/>
          <w:numId w:val="1017"/>
        </w:numPr>
      </w:pPr>
      <w:r>
        <w:t xml:space="preserve">Has the pace of new awards changed EMCOR’s willingness to bid additional projects?</w:t>
      </w:r>
    </w:p>
    <w:p>
      <w:pPr>
        <w:pStyle w:val="Compact"/>
        <w:numPr>
          <w:ilvl w:val="0"/>
          <w:numId w:val="1017"/>
        </w:numPr>
      </w:pPr>
      <w:r>
        <w:t xml:space="preserve">Is management declining more work because of supervisory capacity?</w:t>
      </w:r>
    </w:p>
    <w:p>
      <w:pPr>
        <w:pStyle w:val="Compact"/>
        <w:numPr>
          <w:ilvl w:val="0"/>
          <w:numId w:val="1017"/>
        </w:numPr>
      </w:pPr>
      <w:r>
        <w:t xml:space="preserve">Are wage or incentive costs rising faster than anticipated?</w:t>
      </w:r>
    </w:p>
    <w:p>
      <w:pPr>
        <w:pStyle w:val="Compact"/>
        <w:numPr>
          <w:ilvl w:val="0"/>
          <w:numId w:val="1017"/>
        </w:numPr>
      </w:pPr>
      <w:r>
        <w:t xml:space="preserve">Is prefabrication capacity keeping pace with bookings?</w:t>
      </w:r>
    </w:p>
    <w:p>
      <w:pPr>
        <w:pStyle w:val="Compact"/>
        <w:numPr>
          <w:ilvl w:val="0"/>
          <w:numId w:val="1017"/>
        </w:numPr>
      </w:pPr>
      <w:r>
        <w:t xml:space="preserve">Are newer data-center markets performing at EMCOR’s normal productivity levels?</w:t>
      </w:r>
    </w:p>
    <w:p>
      <w:pPr>
        <w:pStyle w:val="FirstParagraph"/>
      </w:pPr>
      <w:r>
        <w:t xml:space="preserve">A disciplined decision to limit growth would be healthier than overextending operational resources, even if it produces slower near-term bookings.</w:t>
      </w:r>
    </w:p>
    <w:p>
      <w:r>
        <w:pict>
          <v:rect style="width:0;height:1.5pt" o:hralign="center" o:hrstd="t" o:hr="t"/>
        </w:pict>
      </w:r>
    </w:p>
    <w:bookmarkEnd w:id="30"/>
    <w:bookmarkStart w:id="31" w:name="stock-setup"/>
    <w:p>
      <w:pPr>
        <w:pStyle w:val="Heading2"/>
      </w:pPr>
      <w:r>
        <w:t xml:space="preserve">Stock setup</w:t>
      </w:r>
    </w:p>
    <w:p>
      <w:pPr>
        <w:pStyle w:val="FirstParagraph"/>
      </w:pPr>
      <w:r>
        <w:t xml:space="preserve">EME closed July 29 at</w:t>
      </w:r>
      <w:r>
        <w:t xml:space="preserve"> </w:t>
      </w:r>
      <w:r>
        <w:rPr>
          <w:b/>
          <w:bCs/>
        </w:rPr>
        <w:t xml:space="preserve">$684.02</w:t>
      </w:r>
      <w:r>
        <w:t xml:space="preserve">, according to the available price data. That leaves the shares:</w:t>
      </w:r>
    </w:p>
    <w:p>
      <w:pPr>
        <w:pStyle w:val="Compact"/>
        <w:numPr>
          <w:ilvl w:val="0"/>
          <w:numId w:val="1018"/>
        </w:numPr>
      </w:pPr>
      <w:r>
        <w:t xml:space="preserve">Approximately</w:t>
      </w:r>
      <w:r>
        <w:t xml:space="preserve"> </w:t>
      </w:r>
      <w:r>
        <w:rPr>
          <w:b/>
          <w:bCs/>
        </w:rPr>
        <w:t xml:space="preserve">12% above</w:t>
      </w:r>
      <w:r>
        <w:t xml:space="preserve"> </w:t>
      </w:r>
      <w:r>
        <w:t xml:space="preserve">the 2025 year-end close</w:t>
      </w:r>
    </w:p>
    <w:p>
      <w:pPr>
        <w:pStyle w:val="Compact"/>
        <w:numPr>
          <w:ilvl w:val="0"/>
          <w:numId w:val="1018"/>
        </w:numPr>
      </w:pPr>
      <w:r>
        <w:t xml:space="preserve">Approximately</w:t>
      </w:r>
      <w:r>
        <w:t xml:space="preserve"> </w:t>
      </w:r>
      <w:r>
        <w:rPr>
          <w:b/>
          <w:bCs/>
        </w:rPr>
        <w:t xml:space="preserve">28% below</w:t>
      </w:r>
      <w:r>
        <w:t xml:space="preserve"> </w:t>
      </w:r>
      <w:r>
        <w:t xml:space="preserve">their May 2026 high</w:t>
      </w:r>
    </w:p>
    <w:p>
      <w:pPr>
        <w:pStyle w:val="Compact"/>
        <w:numPr>
          <w:ilvl w:val="0"/>
          <w:numId w:val="1018"/>
        </w:numPr>
      </w:pPr>
      <w:r>
        <w:t xml:space="preserve">Approximately</w:t>
      </w:r>
      <w:r>
        <w:t xml:space="preserve"> </w:t>
      </w:r>
      <w:r>
        <w:rPr>
          <w:b/>
          <w:bCs/>
        </w:rPr>
        <w:t xml:space="preserve">21% below</w:t>
      </w:r>
      <w:r>
        <w:t xml:space="preserve"> </w:t>
      </w:r>
      <w:r>
        <w:t xml:space="preserve">the closing price immediately before the Q1 report</w:t>
      </w:r>
    </w:p>
    <w:p>
      <w:pPr>
        <w:pStyle w:val="FirstParagraph"/>
      </w:pPr>
      <w:r>
        <w:t xml:space="preserve">Using current published estimates, the stock trades at roughly:</w:t>
      </w:r>
    </w:p>
    <w:p>
      <w:pPr>
        <w:pStyle w:val="Compact"/>
        <w:numPr>
          <w:ilvl w:val="0"/>
          <w:numId w:val="1019"/>
        </w:numPr>
      </w:pPr>
      <w:r>
        <w:rPr>
          <w:b/>
          <w:bCs/>
        </w:rPr>
        <w:t xml:space="preserve">23x FY2026 EPS</w:t>
      </w:r>
    </w:p>
    <w:p>
      <w:pPr>
        <w:pStyle w:val="Compact"/>
        <w:numPr>
          <w:ilvl w:val="0"/>
          <w:numId w:val="1019"/>
        </w:numPr>
      </w:pPr>
      <w:r>
        <w:rPr>
          <w:b/>
          <w:bCs/>
        </w:rPr>
        <w:t xml:space="preserve">21x FY2027 EPS</w:t>
      </w:r>
    </w:p>
    <w:p>
      <w:pPr>
        <w:pStyle w:val="FirstParagraph"/>
      </w:pPr>
      <w:r>
        <w:t xml:space="preserve">The sharp pullback reduces the valuation risk that existed near the May high. Nevertheless, the stock still carries a premium earnings multiple, and investors will likely require evidence that double-digit earnings growth can continue beyond 2026.</w:t>
      </w:r>
    </w:p>
    <w:p>
      <w:pPr>
        <w:pStyle w:val="BodyText"/>
      </w:pPr>
      <w:r>
        <w:t xml:space="preserve">The reset also makes the immediate reaction less straightforward: a solid report with stable guidance could be enough for relief, but a return toward prior highs would probably require higher forward estimates rather than simply a Q2 beat.</w:t>
      </w:r>
    </w:p>
    <w:p>
      <w:r>
        <w:pict>
          <v:rect style="width:0;height:1.5pt" o:hralign="center" o:hrstd="t" o:hr="t"/>
        </w:pict>
      </w:r>
    </w:p>
    <w:bookmarkEnd w:id="31"/>
    <w:bookmarkStart w:id="32" w:name="illustrative-earnings-scorecard"/>
    <w:p>
      <w:pPr>
        <w:pStyle w:val="Heading2"/>
      </w:pPr>
      <w:r>
        <w:t xml:space="preserve">Illustrative earnings scorecard</w:t>
      </w:r>
    </w:p>
    <w:p>
      <w:pPr>
        <w:pStyle w:val="FirstParagraph"/>
      </w:pPr>
      <w:r>
        <w:t xml:space="preserve">These are analytical thresholds rather than formal consensus ranges.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Outcome</w:t>
            </w:r>
          </w:p>
        </w:tc>
        <w:tc>
          <w:tcPr/>
          <w:p>
            <w:pPr>
              <w:pStyle w:val="Compact"/>
              <w:jc w:val="right"/>
            </w:pPr>
            <w:r>
              <w:t xml:space="preserve">Revenue</w:t>
            </w:r>
          </w:p>
        </w:tc>
        <w:tc>
          <w:tcPr/>
          <w:p>
            <w:pPr>
              <w:pStyle w:val="Compact"/>
              <w:jc w:val="right"/>
            </w:pPr>
            <w:r>
              <w:t xml:space="preserve">EPS</w:t>
            </w:r>
          </w:p>
        </w:tc>
        <w:tc>
          <w:tcPr/>
          <w:p>
            <w:pPr>
              <w:pStyle w:val="Compact"/>
            </w:pPr>
            <w:r>
              <w:t xml:space="preserve">RPOs and guidance</w:t>
            </w:r>
          </w:p>
        </w:tc>
      </w:tr>
      <w:tr>
        <w:tc>
          <w:tcPr/>
          <w:p>
            <w:pPr>
              <w:pStyle w:val="Compact"/>
            </w:pPr>
            <w:r>
              <w:rPr>
                <w:b/>
                <w:bCs/>
              </w:rPr>
              <w:t xml:space="preserve">Strong</w:t>
            </w:r>
          </w:p>
        </w:tc>
        <w:tc>
          <w:tcPr/>
          <w:p>
            <w:pPr>
              <w:pStyle w:val="Compact"/>
              <w:jc w:val="right"/>
            </w:pPr>
            <w:r>
              <w:t xml:space="preserve">Above ~$4.80B</w:t>
            </w:r>
          </w:p>
        </w:tc>
        <w:tc>
          <w:tcPr/>
          <w:p>
            <w:pPr>
              <w:pStyle w:val="Compact"/>
              <w:jc w:val="right"/>
            </w:pPr>
            <w:r>
              <w:t xml:space="preserve">Above ~$7.50</w:t>
            </w:r>
          </w:p>
        </w:tc>
        <w:tc>
          <w:tcPr/>
          <w:p>
            <w:pPr>
              <w:pStyle w:val="Compact"/>
            </w:pPr>
            <w:r>
              <w:t xml:space="preserve">RPOs at/above $16B; meaningful guidance increase</w:t>
            </w:r>
          </w:p>
        </w:tc>
      </w:tr>
      <w:tr>
        <w:tc>
          <w:tcPr/>
          <w:p>
            <w:pPr>
              <w:pStyle w:val="Compact"/>
            </w:pPr>
            <w:r>
              <w:rPr>
                <w:b/>
                <w:bCs/>
              </w:rPr>
              <w:t xml:space="preserve">Solid</w:t>
            </w:r>
          </w:p>
        </w:tc>
        <w:tc>
          <w:tcPr/>
          <w:p>
            <w:pPr>
              <w:pStyle w:val="Compact"/>
              <w:jc w:val="right"/>
            </w:pPr>
            <w:r>
              <w:t xml:space="preserve">~</w:t>
            </w:r>
            <m:oMath>
              <m:r>
                <m:t>4.70</m:t>
              </m:r>
              <m:r>
                <m:t>B</m:t>
              </m:r>
              <m:r>
                <m:rPr>
                  <m:sty m:val="p"/>
                </m:rPr>
                <m:t>–</m:t>
              </m:r>
            </m:oMath>
            <w:r>
              <w:t xml:space="preserve">4.80B</w:t>
            </w:r>
          </w:p>
        </w:tc>
        <w:tc>
          <w:tcPr/>
          <w:p>
            <w:pPr>
              <w:pStyle w:val="Compact"/>
              <w:jc w:val="right"/>
            </w:pPr>
            <w:r>
              <w:t xml:space="preserve">~</w:t>
            </w:r>
            <m:oMath>
              <m:r>
                <m:t>7.20</m:t>
              </m:r>
              <m:r>
                <m:rPr>
                  <m:sty m:val="p"/>
                </m:rPr>
                <m:t>–</m:t>
              </m:r>
            </m:oMath>
            <w:r>
              <w:t xml:space="preserve">7.50</w:t>
            </w:r>
          </w:p>
        </w:tc>
        <w:tc>
          <w:tcPr/>
          <w:p>
            <w:pPr>
              <w:pStyle w:val="Compact"/>
            </w:pPr>
            <w:r>
              <w:t xml:space="preserve">RPOs broadly stable; lower end or midpoint raised</w:t>
            </w:r>
          </w:p>
        </w:tc>
      </w:tr>
      <w:tr>
        <w:tc>
          <w:tcPr/>
          <w:p>
            <w:pPr>
              <w:pStyle w:val="Compact"/>
            </w:pPr>
            <w:r>
              <w:rPr>
                <w:b/>
                <w:bCs/>
              </w:rPr>
              <w:t xml:space="preserve">Mixed</w:t>
            </w:r>
          </w:p>
        </w:tc>
        <w:tc>
          <w:tcPr/>
          <w:p>
            <w:pPr>
              <w:pStyle w:val="Compact"/>
              <w:jc w:val="right"/>
            </w:pPr>
            <w:r>
              <w:t xml:space="preserve">~</w:t>
            </w:r>
            <m:oMath>
              <m:r>
                <m:t>4.60</m:t>
              </m:r>
              <m:r>
                <m:t>B</m:t>
              </m:r>
              <m:r>
                <m:rPr>
                  <m:sty m:val="p"/>
                </m:rPr>
                <m:t>–</m:t>
              </m:r>
            </m:oMath>
            <w:r>
              <w:t xml:space="preserve">4.70B</w:t>
            </w:r>
          </w:p>
        </w:tc>
        <w:tc>
          <w:tcPr/>
          <w:p>
            <w:pPr>
              <w:pStyle w:val="Compact"/>
              <w:jc w:val="right"/>
            </w:pPr>
            <w:r>
              <w:t xml:space="preserve">~</w:t>
            </w:r>
            <m:oMath>
              <m:r>
                <m:t>7.00</m:t>
              </m:r>
              <m:r>
                <m:rPr>
                  <m:sty m:val="p"/>
                </m:rPr>
                <m:t>–</m:t>
              </m:r>
            </m:oMath>
            <w:r>
              <w:t xml:space="preserve">7.20</w:t>
            </w:r>
          </w:p>
        </w:tc>
        <w:tc>
          <w:tcPr/>
          <w:p>
            <w:pPr>
              <w:pStyle w:val="Compact"/>
            </w:pPr>
            <w:r>
              <w:t xml:space="preserve">Strong demand commentary but little guidance change</w:t>
            </w:r>
          </w:p>
        </w:tc>
      </w:tr>
      <w:tr>
        <w:tc>
          <w:tcPr/>
          <w:p>
            <w:pPr>
              <w:pStyle w:val="Compact"/>
            </w:pPr>
            <w:r>
              <w:rPr>
                <w:b/>
                <w:bCs/>
              </w:rPr>
              <w:t xml:space="preserve">Weak</w:t>
            </w:r>
          </w:p>
        </w:tc>
        <w:tc>
          <w:tcPr/>
          <w:p>
            <w:pPr>
              <w:pStyle w:val="Compact"/>
              <w:jc w:val="right"/>
            </w:pPr>
            <w:r>
              <w:t xml:space="preserve">Below ~$4.60B</w:t>
            </w:r>
          </w:p>
        </w:tc>
        <w:tc>
          <w:tcPr/>
          <w:p>
            <w:pPr>
              <w:pStyle w:val="Compact"/>
              <w:jc w:val="right"/>
            </w:pPr>
            <w:r>
              <w:t xml:space="preserve">Below ~$7.00</w:t>
            </w:r>
          </w:p>
        </w:tc>
        <w:tc>
          <w:tcPr/>
          <w:p>
            <w:pPr>
              <w:pStyle w:val="Compact"/>
            </w:pPr>
            <w:r>
              <w:t xml:space="preserve">Material RPO decline, margin deterioration or cautious outlook</w:t>
            </w:r>
          </w:p>
        </w:tc>
      </w:tr>
    </w:tbl>
    <w:p>
      <w:pPr>
        <w:pStyle w:val="BodyText"/>
      </w:pPr>
      <w:r>
        <w:t xml:space="preserve">The composition will matter more than any single threshold. For example, $7.40 of EPS generated through unusually favorable project closeouts would be less valuable than $7.25 accompanied by stronger bookings and improved second-half visibility.</w:t>
      </w:r>
    </w:p>
    <w:p>
      <w:r>
        <w:pict>
          <v:rect style="width:0;height:1.5pt" o:hralign="center" o:hrstd="t" o:hr="t"/>
        </w:pict>
      </w:r>
    </w:p>
    <w:bookmarkEnd w:id="32"/>
    <w:bookmarkStart w:id="33" w:name="bottom-line"/>
    <w:p>
      <w:pPr>
        <w:pStyle w:val="Heading2"/>
      </w:pPr>
      <w:r>
        <w:t xml:space="preserve">Bottom line</w:t>
      </w:r>
    </w:p>
    <w:p>
      <w:pPr>
        <w:pStyle w:val="FirstParagraph"/>
      </w:pPr>
      <w:r>
        <w:t xml:space="preserve">EMCOR’s fundamental setup remains strong: record RPOs, exceptional construction demand, growing electrical and cooling requirements for data centers, and a liquid balance sheet. The stock’s recent decline also means expectations are less euphoric than they were in May.</w:t>
      </w:r>
    </w:p>
    <w:p>
      <w:pPr>
        <w:pStyle w:val="BodyText"/>
      </w:pPr>
      <w:r>
        <w:t xml:space="preserve">However, Q2 must validate that the company can</w:t>
      </w:r>
      <w:r>
        <w:t xml:space="preserve"> </w:t>
      </w:r>
      <w:r>
        <w:rPr>
          <w:b/>
          <w:bCs/>
        </w:rPr>
        <w:t xml:space="preserve">turn backlog into profitable growth</w:t>
      </w:r>
      <w:r>
        <w:t xml:space="preserve">. The most consequential read-throughs will be:</w:t>
      </w:r>
    </w:p>
    <w:p>
      <w:pPr>
        <w:pStyle w:val="Compact"/>
        <w:numPr>
          <w:ilvl w:val="0"/>
          <w:numId w:val="1020"/>
        </w:numPr>
      </w:pPr>
      <w:r>
        <w:rPr>
          <w:b/>
          <w:bCs/>
        </w:rPr>
        <w:t xml:space="preserve">Whether RPOs remain near record levels</w:t>
      </w:r>
    </w:p>
    <w:p>
      <w:pPr>
        <w:pStyle w:val="Compact"/>
        <w:numPr>
          <w:ilvl w:val="0"/>
          <w:numId w:val="1020"/>
        </w:numPr>
      </w:pPr>
      <w:r>
        <w:rPr>
          <w:b/>
          <w:bCs/>
        </w:rPr>
        <w:t xml:space="preserve">Whether mechanical margins stabilize</w:t>
      </w:r>
    </w:p>
    <w:p>
      <w:pPr>
        <w:pStyle w:val="Compact"/>
        <w:numPr>
          <w:ilvl w:val="0"/>
          <w:numId w:val="1020"/>
        </w:numPr>
      </w:pPr>
      <w:r>
        <w:rPr>
          <w:b/>
          <w:bCs/>
        </w:rPr>
        <w:t xml:space="preserve">Whether newly booked projects are mobilizing on schedule</w:t>
      </w:r>
    </w:p>
    <w:p>
      <w:pPr>
        <w:pStyle w:val="Compact"/>
        <w:numPr>
          <w:ilvl w:val="0"/>
          <w:numId w:val="1020"/>
        </w:numPr>
      </w:pPr>
      <w:r>
        <w:rPr>
          <w:b/>
          <w:bCs/>
        </w:rPr>
        <w:t xml:space="preserve">Whether cash conversion begins recovering</w:t>
      </w:r>
    </w:p>
    <w:p>
      <w:pPr>
        <w:pStyle w:val="Compact"/>
        <w:numPr>
          <w:ilvl w:val="0"/>
          <w:numId w:val="1020"/>
        </w:numPr>
      </w:pPr>
      <w:r>
        <w:rPr>
          <w:b/>
          <w:bCs/>
        </w:rPr>
        <w:t xml:space="preserve">Whether management raises guidance enough to stay ahead of consensus</w:t>
      </w:r>
    </w:p>
    <w:p>
      <w:pPr>
        <w:pStyle w:val="FirstParagraph"/>
      </w:pPr>
      <w:r>
        <w:t xml:space="preserve">My base case is for another healthy quarter and some form of guidance increase, but with mechanical margins remaining below last year’s unusually strong level. The best outcome would be a balanced report—strong revenue and RPOs, resilient margins and a higher outlook—rather than a large headline beat driven by project timing or closeout gains.</w:t>
      </w:r>
    </w:p>
    <w:bookmarkEnd w:id="33"/>
    <w:bookmarkEnd w:id="3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1"/>
  </w:num>
  <w:num w:numId="1019">
    <w:abstractNumId w:val="991"/>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2" Target="https://emcorgroup.com/investor-relations/press-releases/2026-news/emcor-group-inc-reports-first-quarter-2026-results" TargetMode="External" /><Relationship Type="http://schemas.openxmlformats.org/officeDocument/2006/relationships/hyperlink" Id="rId9" Target="https://emcorgroup.com/investor-relations/press-releases/2026-news/emcor-group-inc-sets-second-quarter-2026-earnings-release-date-and-webcast" TargetMode="External" /><Relationship Type="http://schemas.openxmlformats.org/officeDocument/2006/relationships/hyperlink" Id="rId24" Target="https://www.barchart.com/stocks/quotes/EME/earnings-estimates" TargetMode="External" /><Relationship Type="http://schemas.openxmlformats.org/officeDocument/2006/relationships/hyperlink" Id="rId11" Target="https://www.benzinga.com/quote/EME/earnings?utm_source=openai" TargetMode="External" /></Relationships>
</file>

<file path=word/_rels/footnotes.xml.rels><?xml version="1.0" encoding="UTF-8"?><Relationships xmlns="http://schemas.openxmlformats.org/package/2006/relationships"><Relationship Type="http://schemas.openxmlformats.org/officeDocument/2006/relationships/hyperlink" Id="rId12" Target="https://emcorgroup.com/investor-relations/press-releases/2026-news/emcor-group-inc-reports-first-quarter-2026-results" TargetMode="External" /><Relationship Type="http://schemas.openxmlformats.org/officeDocument/2006/relationships/hyperlink" Id="rId9" Target="https://emcorgroup.com/investor-relations/press-releases/2026-news/emcor-group-inc-sets-second-quarter-2026-earnings-release-date-and-webcast" TargetMode="External" /><Relationship Type="http://schemas.openxmlformats.org/officeDocument/2006/relationships/hyperlink" Id="rId24" Target="https://www.barchart.com/stocks/quotes/EME/earnings-estimates" TargetMode="External" /><Relationship Type="http://schemas.openxmlformats.org/officeDocument/2006/relationships/hyperlink" Id="rId11" Target="https://www.benzinga.com/quote/EME/earning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2026-07-29T19:03:13Z</dcterms:created>
  <dcterms:modified xsi:type="dcterms:W3CDTF">2026-07-29T19:03:13Z</dcterms:modified>
</cp:coreProperties>
</file>

<file path=docProps/custom.xml><?xml version="1.0" encoding="utf-8"?>
<Properties xmlns="http://schemas.openxmlformats.org/officeDocument/2006/custom-properties" xmlns:vt="http://schemas.openxmlformats.org/officeDocument/2006/docPropsVTypes"/>
</file>