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9aa2fbf8077a1ae129f19b1c9d42c023c36ccb7"/>
    <w:p>
      <w:pPr>
        <w:pStyle w:val="Heading1"/>
      </w:pPr>
      <w:r>
        <w:t xml:space="preserve">EMCOR Group (NYSE: EME) — 2Q26 Earnings Preview</w:t>
      </w:r>
    </w:p>
    <w:p>
      <w:pPr>
        <w:pStyle w:val="FirstParagraph"/>
      </w:pPr>
      <w:r>
        <w:rPr>
          <w:b/>
          <w:bCs/>
        </w:rPr>
        <w:t xml:space="preserve">Report date:</w:t>
      </w:r>
      <w:r>
        <w:t xml:space="preserve"> </w:t>
      </w:r>
      <w:r>
        <w:t xml:space="preserve">Thursday, July 30, 2026</w:t>
      </w:r>
      <w:r>
        <w:br/>
      </w:r>
      <w:r>
        <w:rPr>
          <w:b/>
          <w:bCs/>
        </w:rPr>
        <w:t xml:space="preserve">Event:</w:t>
      </w:r>
      <w:r>
        <w:t xml:space="preserve"> </w:t>
      </w:r>
      <w:r>
        <w:t xml:space="preserve">2026Q2 Earnings Call</w:t>
      </w:r>
      <w:r>
        <w:br/>
      </w:r>
      <w:r>
        <w:rPr>
          <w:b/>
          <w:bCs/>
        </w:rPr>
        <w:t xml:space="preserve">Setup:</w:t>
      </w:r>
      <w:r>
        <w:t xml:space="preserve"> </w:t>
      </w:r>
      <w:r>
        <w:t xml:space="preserve">EME enters the print with exceptionally strong operating momentum and a record backlog/RPO position—but also with a stock that has materially retraced despite the strong first-quarter result. The central question is not whether demand remains healthy; it is whether EMCOR can convert its large, data-center-led opportunity set into sustained revenue growth and margin dollars without a further unfavorable shift in contract mix.</w:t>
      </w:r>
    </w:p>
    <w:bookmarkStart w:id="9" w:name="investment-view-what-matters-most"/>
    <w:p>
      <w:pPr>
        <w:pStyle w:val="Heading2"/>
      </w:pPr>
      <w:r>
        <w:t xml:space="preserve">Investment view: what matters most</w:t>
      </w:r>
    </w:p>
    <w:p>
      <w:pPr>
        <w:pStyle w:val="FirstParagraph"/>
      </w:pPr>
      <w:r>
        <w:t xml:space="preserve">EMCOR’s first quarter established a very high fundamental bar:</w:t>
      </w:r>
    </w:p>
    <w:p>
      <w:pPr>
        <w:pStyle w:val="Compact"/>
        <w:numPr>
          <w:ilvl w:val="0"/>
          <w:numId w:val="1001"/>
        </w:numPr>
      </w:pPr>
      <w:r>
        <w:t xml:space="preserve">Revenue grew</w:t>
      </w:r>
      <w:r>
        <w:t xml:space="preserve"> </w:t>
      </w:r>
      <w:r>
        <w:rPr>
          <w:b/>
          <w:bCs/>
        </w:rPr>
        <w:t xml:space="preserve">19.7%</w:t>
      </w:r>
      <w:r>
        <w:t xml:space="preserve"> </w:t>
      </w:r>
      <w:r>
        <w:t xml:space="preserve">year over year to a quarterly record</w:t>
      </w:r>
      <w:r>
        <w:t xml:space="preserve"> </w:t>
      </w:r>
      <w:r>
        <w:rPr>
          <w:b/>
          <w:bCs/>
        </w:rPr>
        <w:t xml:space="preserve">$4.63 billion</w:t>
      </w:r>
      <w:r>
        <w:t xml:space="preserve">; organic growth was</w:t>
      </w:r>
      <w:r>
        <w:t xml:space="preserve"> </w:t>
      </w:r>
      <w:r>
        <w:rPr>
          <w:b/>
          <w:bCs/>
        </w:rPr>
        <w:t xml:space="preserve">16.8%</w:t>
      </w:r>
      <w:r>
        <w:t xml:space="preserve"> </w:t>
      </w:r>
      <w:r>
        <w:t xml:space="preserve">after adjusting for acquisitions and the UK exit.</w:t>
      </w:r>
    </w:p>
    <w:p>
      <w:pPr>
        <w:pStyle w:val="Compact"/>
        <w:numPr>
          <w:ilvl w:val="0"/>
          <w:numId w:val="1001"/>
        </w:numPr>
      </w:pPr>
      <w:r>
        <w:t xml:space="preserve">Diluted EPS rose</w:t>
      </w:r>
      <w:r>
        <w:t xml:space="preserve"> </w:t>
      </w:r>
      <w:r>
        <w:rPr>
          <w:b/>
          <w:bCs/>
        </w:rPr>
        <w:t xml:space="preserve">30%</w:t>
      </w:r>
      <w:r>
        <w:t xml:space="preserve"> </w:t>
      </w:r>
      <w:r>
        <w:t xml:space="preserve">to</w:t>
      </w:r>
      <w:r>
        <w:t xml:space="preserve"> </w:t>
      </w:r>
      <w:r>
        <w:rPr>
          <w:b/>
          <w:bCs/>
        </w:rPr>
        <w:t xml:space="preserve">$6.84</w:t>
      </w:r>
      <w:r>
        <w:t xml:space="preserve">.</w:t>
      </w:r>
    </w:p>
    <w:p>
      <w:pPr>
        <w:pStyle w:val="Compact"/>
        <w:numPr>
          <w:ilvl w:val="0"/>
          <w:numId w:val="1001"/>
        </w:numPr>
      </w:pPr>
      <w:r>
        <w:t xml:space="preserve">Operating margin expanded</w:t>
      </w:r>
      <w:r>
        <w:t xml:space="preserve"> </w:t>
      </w:r>
      <w:r>
        <w:rPr>
          <w:b/>
          <w:bCs/>
        </w:rPr>
        <w:t xml:space="preserve">50 bps</w:t>
      </w:r>
      <w:r>
        <w:t xml:space="preserve"> </w:t>
      </w:r>
      <w:r>
        <w:t xml:space="preserve">year over year to</w:t>
      </w:r>
      <w:r>
        <w:t xml:space="preserve"> </w:t>
      </w:r>
      <w:r>
        <w:rPr>
          <w:b/>
          <w:bCs/>
        </w:rPr>
        <w:t xml:space="preserve">8.7%</w:t>
      </w:r>
      <w:r>
        <w:t xml:space="preserve">.</w:t>
      </w:r>
    </w:p>
    <w:p>
      <w:pPr>
        <w:pStyle w:val="Compact"/>
        <w:numPr>
          <w:ilvl w:val="0"/>
          <w:numId w:val="1001"/>
        </w:numPr>
      </w:pPr>
      <w:r>
        <w:t xml:space="preserve">Remaining performance obligations (RPO) climbed to a record</w:t>
      </w:r>
      <w:r>
        <w:t xml:space="preserve"> </w:t>
      </w:r>
      <w:r>
        <w:rPr>
          <w:b/>
          <w:bCs/>
        </w:rPr>
        <w:t xml:space="preserve">$15.62 billion</w:t>
      </w:r>
      <w:r>
        <w:t xml:space="preserve">, up</w:t>
      </w:r>
      <w:r>
        <w:t xml:space="preserve"> </w:t>
      </w:r>
      <w:r>
        <w:rPr>
          <w:b/>
          <w:bCs/>
        </w:rPr>
        <w:t xml:space="preserve">17.9% sequentially</w:t>
      </w:r>
      <w:r>
        <w:t xml:space="preserve"> </w:t>
      </w:r>
      <w:r>
        <w:t xml:space="preserve">and</w:t>
      </w:r>
      <w:r>
        <w:t xml:space="preserve"> </w:t>
      </w:r>
      <w:r>
        <w:rPr>
          <w:b/>
          <w:bCs/>
        </w:rPr>
        <w:t xml:space="preserve">32.9% year over year</w:t>
      </w:r>
      <w:r>
        <w:t xml:space="preserve">.</w:t>
      </w:r>
    </w:p>
    <w:p>
      <w:pPr>
        <w:pStyle w:val="Compact"/>
        <w:numPr>
          <w:ilvl w:val="0"/>
          <w:numId w:val="1001"/>
        </w:numPr>
      </w:pPr>
      <w:r>
        <w:t xml:space="preserve">Management raised 2026 revenue guidance to</w:t>
      </w:r>
      <w:r>
        <w:t xml:space="preserve"> </w:t>
      </w:r>
      <m:oMath>
        <m:r>
          <m:t>18.5</m:t>
        </m:r>
        <m:r>
          <m:rPr>
            <m:sty m:val="p"/>
          </m:rPr>
          <m:t>–</m:t>
        </m:r>
      </m:oMath>
      <w:r>
        <w:rPr>
          <w:b/>
          <w:bCs/>
        </w:rPr>
        <w:t xml:space="preserve">19.25 billion</w:t>
      </w:r>
      <w:r>
        <w:t xml:space="preserve"> </w:t>
      </w:r>
      <w:r>
        <w:t xml:space="preserve">and EPS guidance to</w:t>
      </w:r>
      <w:r>
        <w:t xml:space="preserve"> </w:t>
      </w:r>
      <m:oMath>
        <m:r>
          <m:t>28.25</m:t>
        </m:r>
        <m:r>
          <m:rPr>
            <m:sty m:val="p"/>
          </m:rPr>
          <m:t>–</m:t>
        </m:r>
      </m:oMath>
      <w:r>
        <w:rPr>
          <w:b/>
          <w:bCs/>
        </w:rPr>
        <w:t xml:space="preserve">29.75</w:t>
      </w:r>
      <w:r>
        <w:t xml:space="preserve">, while maintaining its</w:t>
      </w:r>
      <w:r>
        <w:t xml:space="preserve"> </w:t>
      </w:r>
      <w:r>
        <w:rPr>
          <w:b/>
          <w:bCs/>
        </w:rPr>
        <w:t xml:space="preserve">9.0%–9.4%</w:t>
      </w:r>
      <w:r>
        <w:t xml:space="preserve"> </w:t>
      </w:r>
      <w:r>
        <w:t xml:space="preserve">operating-margin range.</w:t>
      </w:r>
    </w:p>
    <w:p>
      <w:pPr>
        <w:pStyle w:val="FirstParagraph"/>
      </w:pPr>
      <w:r>
        <w:t xml:space="preserve">The 2Q report should therefore be judged primarily on</w:t>
      </w:r>
      <w:r>
        <w:t xml:space="preserve"> </w:t>
      </w:r>
      <w:r>
        <w:rPr>
          <w:b/>
          <w:bCs/>
        </w:rPr>
        <w:t xml:space="preserve">guidance credibility, bookings/RPO quality, construction-segment margins, and cash conversion</w:t>
      </w:r>
      <w:r>
        <w:t xml:space="preserve">, rather than on the headline quarterly EPS figure alone.</w:t>
      </w:r>
    </w:p>
    <w:bookmarkEnd w:id="9"/>
    <w:bookmarkStart w:id="12" w:name="the-core-debate-going-into-the-print"/>
    <w:p>
      <w:pPr>
        <w:pStyle w:val="Heading2"/>
      </w:pPr>
      <w:r>
        <w:t xml:space="preserve">The core debate going into the print</w:t>
      </w:r>
    </w:p>
    <w:bookmarkStart w:id="10" w:name="Xdc0f80ef3cec10c800833cc73139c28ad5ebf3b"/>
    <w:p>
      <w:pPr>
        <w:pStyle w:val="Heading3"/>
      </w:pPr>
      <w:r>
        <w:t xml:space="preserve">Bull case: demand and execution remain unusually strong</w:t>
      </w:r>
    </w:p>
    <w:p>
      <w:pPr>
        <w:pStyle w:val="FirstParagraph"/>
      </w:pPr>
      <w:r>
        <w:t xml:space="preserve">EMCOR has positioned itself at the intersection of several durable construction and service spending themes:</w:t>
      </w:r>
    </w:p>
    <w:p>
      <w:pPr>
        <w:numPr>
          <w:ilvl w:val="0"/>
          <w:numId w:val="1002"/>
        </w:numPr>
      </w:pPr>
      <w:r>
        <w:rPr>
          <w:b/>
          <w:bCs/>
        </w:rPr>
        <w:t xml:space="preserve">Data-center and AI infrastructure demand.</w:t>
      </w:r>
      <w:r>
        <w:br/>
      </w:r>
      <w:r>
        <w:t xml:space="preserve">Network and communications was the largest source of first-quarter growth in both electrical and mechanical construction. Management said electrical segment revenue in that market increased nearly 50%, while mechanical revenue increased 86%, driven by data-center activity and more demanding cooling requirements.</w:t>
      </w:r>
    </w:p>
    <w:p>
      <w:pPr>
        <w:numPr>
          <w:ilvl w:val="0"/>
          <w:numId w:val="1002"/>
        </w:numPr>
      </w:pPr>
      <w:r>
        <w:rPr>
          <w:b/>
          <w:bCs/>
        </w:rPr>
        <w:t xml:space="preserve">Broad-based non-data-center strength.</w:t>
      </w:r>
      <w:r>
        <w:br/>
      </w:r>
      <w:r>
        <w:t xml:space="preserve">The RPO increase was not exclusively a data-center story. Management cited particular strength in water and wastewater, institutional/education, healthcare, manufacturing and industrial work, and selected commercial logistics projects. This diversity matters because it reduces the risk that one hyperscale spending cycle determines the full-company outcome.</w:t>
      </w:r>
    </w:p>
    <w:p>
      <w:pPr>
        <w:numPr>
          <w:ilvl w:val="0"/>
          <w:numId w:val="1002"/>
        </w:numPr>
      </w:pPr>
      <w:r>
        <w:rPr>
          <w:b/>
          <w:bCs/>
        </w:rPr>
        <w:t xml:space="preserve">Record RPO provides near-term visibility.</w:t>
      </w:r>
      <w:r>
        <w:br/>
      </w:r>
      <w:r>
        <w:t xml:space="preserve">At the end of 1Q, management expected roughly</w:t>
      </w:r>
      <w:r>
        <w:t xml:space="preserve"> </w:t>
      </w:r>
      <w:r>
        <w:rPr>
          <w:b/>
          <w:bCs/>
        </w:rPr>
        <w:t xml:space="preserve">78% of RPO to convert within 12 months</w:t>
      </w:r>
      <w:r>
        <w:t xml:space="preserve">. That is substantial visibility for a contractor whose reported revenue can move quickly with project mobilization and execution.</w:t>
      </w:r>
    </w:p>
    <w:p>
      <w:pPr>
        <w:numPr>
          <w:ilvl w:val="0"/>
          <w:numId w:val="1002"/>
        </w:numPr>
      </w:pPr>
      <w:r>
        <w:rPr>
          <w:b/>
          <w:bCs/>
        </w:rPr>
        <w:t xml:space="preserve">Proven operating model.</w:t>
      </w:r>
      <w:r>
        <w:br/>
      </w:r>
      <w:r>
        <w:t xml:space="preserve">The company continues to benefit from execution discipline, prefabrication, virtual design and construction, labor planning, project controls, and decentralized local operating companies. First-quarter SG&amp;A fell to</w:t>
      </w:r>
      <w:r>
        <w:t xml:space="preserve"> </w:t>
      </w:r>
      <w:r>
        <w:rPr>
          <w:b/>
          <w:bCs/>
        </w:rPr>
        <w:t xml:space="preserve">9.9% of sales</w:t>
      </w:r>
      <w:r>
        <w:t xml:space="preserve"> </w:t>
      </w:r>
      <w:r>
        <w:t xml:space="preserve">from 10.4% despite higher absolute spending, demonstrating operating leverage.</w:t>
      </w:r>
    </w:p>
    <w:bookmarkEnd w:id="10"/>
    <w:bookmarkStart w:id="11" w:name="X517ddc02f905c5508e90d4df3614e940b97057e"/>
    <w:p>
      <w:pPr>
        <w:pStyle w:val="Heading3"/>
      </w:pPr>
      <w:r>
        <w:t xml:space="preserve">Bear case: mix—not demand—is the main near-term risk</w:t>
      </w:r>
    </w:p>
    <w:p>
      <w:pPr>
        <w:pStyle w:val="FirstParagraph"/>
      </w:pPr>
      <w:r>
        <w:t xml:space="preserve">The clearest pressure point is mechanical-construction margin. In 1Q, the segment generated</w:t>
      </w:r>
      <w:r>
        <w:t xml:space="preserve"> </w:t>
      </w:r>
      <w:r>
        <w:rPr>
          <w:b/>
          <w:bCs/>
        </w:rPr>
        <w:t xml:space="preserve">28.9% revenue growth</w:t>
      </w:r>
      <w:r>
        <w:t xml:space="preserve">, but its operating margin declined</w:t>
      </w:r>
      <w:r>
        <w:t xml:space="preserve"> </w:t>
      </w:r>
      <w:r>
        <w:rPr>
          <w:b/>
          <w:bCs/>
        </w:rPr>
        <w:t xml:space="preserve">100 bps</w:t>
      </w:r>
      <w:r>
        <w:t xml:space="preserve"> </w:t>
      </w:r>
      <w:r>
        <w:t xml:space="preserve">year over year to</w:t>
      </w:r>
      <w:r>
        <w:t xml:space="preserve"> </w:t>
      </w:r>
      <w:r>
        <w:rPr>
          <w:b/>
          <w:bCs/>
        </w:rPr>
        <w:t xml:space="preserve">10.9%</w:t>
      </w:r>
      <w:r>
        <w:t xml:space="preserve">.</w:t>
      </w:r>
    </w:p>
    <w:p>
      <w:pPr>
        <w:pStyle w:val="BodyText"/>
      </w:pPr>
      <w:r>
        <w:t xml:space="preserve">Management attributed the decline to:</w:t>
      </w:r>
    </w:p>
    <w:p>
      <w:pPr>
        <w:pStyle w:val="Compact"/>
        <w:numPr>
          <w:ilvl w:val="0"/>
          <w:numId w:val="1003"/>
        </w:numPr>
      </w:pPr>
      <w:r>
        <w:t xml:space="preserve">More work as a</w:t>
      </w:r>
      <w:r>
        <w:t xml:space="preserve"> </w:t>
      </w:r>
      <w:r>
        <w:rPr>
          <w:b/>
          <w:bCs/>
        </w:rPr>
        <w:t xml:space="preserve">construction manager or prime contractor</w:t>
      </w:r>
      <w:r>
        <w:t xml:space="preserve">, which has lower markup on materials, equipment, and subcontracted work;</w:t>
      </w:r>
    </w:p>
    <w:p>
      <w:pPr>
        <w:pStyle w:val="Compact"/>
        <w:numPr>
          <w:ilvl w:val="0"/>
          <w:numId w:val="1003"/>
        </w:numPr>
      </w:pPr>
      <w:r>
        <w:t xml:space="preserve">A higher proportion of</w:t>
      </w:r>
      <w:r>
        <w:t xml:space="preserve"> </w:t>
      </w:r>
      <w:r>
        <w:rPr>
          <w:b/>
          <w:bCs/>
        </w:rPr>
        <w:t xml:space="preserve">GMP and cost-plus contracts</w:t>
      </w:r>
      <w:r>
        <w:t xml:space="preserve">, especially in newer geographies or projects with evolving designs;</w:t>
      </w:r>
    </w:p>
    <w:p>
      <w:pPr>
        <w:pStyle w:val="Compact"/>
        <w:numPr>
          <w:ilvl w:val="0"/>
          <w:numId w:val="1003"/>
        </w:numPr>
      </w:pPr>
      <w:r>
        <w:t xml:space="preserve">A mix effect from large food-processing and other multi-trade/EPC-style projects.</w:t>
      </w:r>
    </w:p>
    <w:p>
      <w:pPr>
        <w:pStyle w:val="FirstParagraph"/>
      </w:pPr>
      <w:r>
        <w:t xml:space="preserve">This does not necessarily mean project economics are deteriorating. Management has emphasized that it focuses on</w:t>
      </w:r>
      <w:r>
        <w:t xml:space="preserve"> </w:t>
      </w:r>
      <w:r>
        <w:rPr>
          <w:b/>
          <w:bCs/>
        </w:rPr>
        <w:t xml:space="preserve">margin dollars and return on invested capital</w:t>
      </w:r>
      <w:r>
        <w:t xml:space="preserve">, rather than optimizing for a single quarter’s margin percentage. Still, the market will likely require evidence that the mix shift is controlled and that overall operating margin can remain near the high end of the 9.0%–9.4% full-year guide.</w:t>
      </w:r>
    </w:p>
    <w:bookmarkEnd w:id="11"/>
    <w:bookmarkEnd w:id="12"/>
    <w:bookmarkStart w:id="18" w:name="what-investors-should-watch-on-july-30"/>
    <w:p>
      <w:pPr>
        <w:pStyle w:val="Heading2"/>
      </w:pPr>
      <w:r>
        <w:t xml:space="preserve">What investors should watch on July 30</w:t>
      </w:r>
    </w:p>
    <w:bookmarkStart w:id="13" w:name="X0e11053f424679cbaa8e4d42a18f570fc79f6f3"/>
    <w:p>
      <w:pPr>
        <w:pStyle w:val="Heading3"/>
      </w:pPr>
      <w:r>
        <w:t xml:space="preserve">1. Full-year guidance: maintain, narrow, or raise?</w:t>
      </w:r>
    </w:p>
    <w:p>
      <w:pPr>
        <w:pStyle w:val="FirstParagraph"/>
      </w:pPr>
      <w:r>
        <w:t xml:space="preserve">After 1Q, EMCOR’s 2026 guide implied: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2026 guidance</w:t>
            </w:r>
          </w:p>
        </w:tc>
        <w:tc>
          <w:tcPr/>
          <w:p>
            <w:pPr>
              <w:pStyle w:val="Compact"/>
              <w:jc w:val="right"/>
            </w:pPr>
            <w:r>
              <w:t xml:space="preserve">Low end</w:t>
            </w:r>
          </w:p>
        </w:tc>
        <w:tc>
          <w:tcPr/>
          <w:p>
            <w:pPr>
              <w:pStyle w:val="Compact"/>
              <w:jc w:val="right"/>
            </w:pPr>
            <w:r>
              <w:t xml:space="preserve">High end</w:t>
            </w:r>
          </w:p>
        </w:tc>
      </w:tr>
      <w:tr>
        <w:tc>
          <w:tcPr/>
          <w:p>
            <w:pPr>
              <w:pStyle w:val="Compact"/>
            </w:pPr>
            <w:r>
              <w:t xml:space="preserve">Revenue</w:t>
            </w:r>
          </w:p>
        </w:tc>
        <w:tc>
          <w:tcPr/>
          <w:p>
            <w:pPr>
              <w:pStyle w:val="Compact"/>
              <w:jc w:val="right"/>
            </w:pPr>
            <w:r>
              <w:t xml:space="preserve">$18.50B</w:t>
            </w:r>
          </w:p>
        </w:tc>
        <w:tc>
          <w:tcPr/>
          <w:p>
            <w:pPr>
              <w:pStyle w:val="Compact"/>
              <w:jc w:val="right"/>
            </w:pPr>
            <w:r>
              <w:t xml:space="preserve">$19.25B</w:t>
            </w:r>
          </w:p>
        </w:tc>
      </w:tr>
      <w:tr>
        <w:tc>
          <w:tcPr/>
          <w:p>
            <w:pPr>
              <w:pStyle w:val="Compact"/>
            </w:pPr>
            <w:r>
              <w:t xml:space="preserve">Operating margin</w:t>
            </w:r>
          </w:p>
        </w:tc>
        <w:tc>
          <w:tcPr/>
          <w:p>
            <w:pPr>
              <w:pStyle w:val="Compact"/>
              <w:jc w:val="right"/>
            </w:pPr>
            <w:r>
              <w:t xml:space="preserve">9.0%</w:t>
            </w:r>
          </w:p>
        </w:tc>
        <w:tc>
          <w:tcPr/>
          <w:p>
            <w:pPr>
              <w:pStyle w:val="Compact"/>
              <w:jc w:val="right"/>
            </w:pPr>
            <w:r>
              <w:t xml:space="preserve">9.4%</w:t>
            </w:r>
          </w:p>
        </w:tc>
      </w:tr>
      <w:tr>
        <w:tc>
          <w:tcPr/>
          <w:p>
            <w:pPr>
              <w:pStyle w:val="Compact"/>
            </w:pPr>
            <w:r>
              <w:t xml:space="preserve">Diluted EPS</w:t>
            </w:r>
          </w:p>
        </w:tc>
        <w:tc>
          <w:tcPr/>
          <w:p>
            <w:pPr>
              <w:pStyle w:val="Compact"/>
              <w:jc w:val="right"/>
            </w:pPr>
            <w:r>
              <w:t xml:space="preserve">$28.25</w:t>
            </w:r>
          </w:p>
        </w:tc>
        <w:tc>
          <w:tcPr/>
          <w:p>
            <w:pPr>
              <w:pStyle w:val="Compact"/>
              <w:jc w:val="right"/>
            </w:pPr>
            <w:r>
              <w:t xml:space="preserve">$29.75</w:t>
            </w:r>
          </w:p>
        </w:tc>
      </w:tr>
    </w:tbl>
    <w:p>
      <w:pPr>
        <w:pStyle w:val="BodyText"/>
      </w:pPr>
      <w:r>
        <w:t xml:space="preserve">With</w:t>
      </w:r>
      <w:r>
        <w:t xml:space="preserve"> </w:t>
      </w:r>
      <m:oMath>
        <m:r>
          <m:t>4.63</m:t>
        </m:r>
        <m:r>
          <m:t>b</m:t>
        </m:r>
        <m:r>
          <m:t>i</m:t>
        </m:r>
        <m:r>
          <m:t>l</m:t>
        </m:r>
        <m:r>
          <m:t>l</m:t>
        </m:r>
        <m:r>
          <m:t>i</m:t>
        </m:r>
        <m:r>
          <m:t>o</m:t>
        </m:r>
        <m:r>
          <m:t>n</m:t>
        </m:r>
        <m:r>
          <m:t>o</m:t>
        </m:r>
        <m:r>
          <m:t>f</m:t>
        </m:r>
        <m:r>
          <m:t>r</m:t>
        </m:r>
        <m:r>
          <m:t>e</m:t>
        </m:r>
        <m:r>
          <m:t>v</m:t>
        </m:r>
        <m:r>
          <m:t>e</m:t>
        </m:r>
        <m:r>
          <m:t>n</m:t>
        </m:r>
        <m:r>
          <m:t>u</m:t>
        </m:r>
        <m:r>
          <m:t>e</m:t>
        </m:r>
        <m:r>
          <m:t>a</m:t>
        </m:r>
        <m:r>
          <m:t>l</m:t>
        </m:r>
        <m:r>
          <m:t>r</m:t>
        </m:r>
        <m:r>
          <m:t>e</m:t>
        </m:r>
        <m:r>
          <m:t>a</m:t>
        </m:r>
        <m:r>
          <m:t>d</m:t>
        </m:r>
        <m:r>
          <m:t>y</m:t>
        </m:r>
        <m:r>
          <m:t>r</m:t>
        </m:r>
        <m:r>
          <m:t>e</m:t>
        </m:r>
        <m:r>
          <m:t>c</m:t>
        </m:r>
        <m:r>
          <m:t>o</m:t>
        </m:r>
        <m:r>
          <m:t>r</m:t>
        </m:r>
        <m:r>
          <m:t>d</m:t>
        </m:r>
        <m:r>
          <m:t>e</m:t>
        </m:r>
        <m:r>
          <m:t>d</m:t>
        </m:r>
        <m:r>
          <m:t>i</m:t>
        </m:r>
        <m:r>
          <m:t>n</m:t>
        </m:r>
        <m:r>
          <m:t>1</m:t>
        </m:r>
        <m:r>
          <m:t>Q</m:t>
        </m:r>
        <m:r>
          <m:rPr>
            <m:sty m:val="p"/>
          </m:rPr>
          <m:t>,</m:t>
        </m:r>
        <m:r>
          <m:t>t</m:t>
        </m:r>
        <m:r>
          <m:t>h</m:t>
        </m:r>
        <m:r>
          <m:t>e</m:t>
        </m:r>
        <m:r>
          <m:t>c</m:t>
        </m:r>
        <m:r>
          <m:t>o</m:t>
        </m:r>
        <m:r>
          <m:t>m</m:t>
        </m:r>
        <m:r>
          <m:t>p</m:t>
        </m:r>
        <m:r>
          <m:t>a</m:t>
        </m:r>
        <m:r>
          <m:t>n</m:t>
        </m:r>
        <m:r>
          <m:t>y</m:t>
        </m:r>
        <m:r>
          <m:t>n</m:t>
        </m:r>
        <m:r>
          <m:t>e</m:t>
        </m:r>
        <m:r>
          <m:t>e</m:t>
        </m:r>
        <m:r>
          <m:t>d</m:t>
        </m:r>
        <m:r>
          <m:t>s</m:t>
        </m:r>
        <m:r>
          <m:t>a</m:t>
        </m:r>
        <m:r>
          <m:t>p</m:t>
        </m:r>
        <m:r>
          <m:t>p</m:t>
        </m:r>
        <m:r>
          <m:t>r</m:t>
        </m:r>
        <m:r>
          <m:t>o</m:t>
        </m:r>
        <m:r>
          <m:t>x</m:t>
        </m:r>
        <m:r>
          <m:t>i</m:t>
        </m:r>
        <m:r>
          <m:t>m</m:t>
        </m:r>
        <m:r>
          <m:t>a</m:t>
        </m:r>
        <m:r>
          <m:t>t</m:t>
        </m:r>
        <m:r>
          <m:t>e</m:t>
        </m:r>
        <m:r>
          <m:t>l</m:t>
        </m:r>
        <m:r>
          <m:t>y</m:t>
        </m:r>
        <m:r>
          <m:rPr>
            <m:sty m:val="p"/>
          </m:rPr>
          <m:t>*</m:t>
        </m:r>
        <m:r>
          <m:rPr>
            <m:sty m:val="p"/>
          </m:rPr>
          <m:t>*</m:t>
        </m:r>
      </m:oMath>
      <w:r>
        <w:t xml:space="preserve">13.87–</w:t>
      </w:r>
      <m:oMath>
        <m:r>
          <m:t>14.62</m:t>
        </m:r>
        <m:r>
          <m:t>b</m:t>
        </m:r>
        <m:r>
          <m:t>i</m:t>
        </m:r>
        <m:r>
          <m:t>l</m:t>
        </m:r>
        <m:r>
          <m:t>l</m:t>
        </m:r>
        <m:r>
          <m:t>i</m:t>
        </m:r>
        <m:r>
          <m:t>o</m:t>
        </m:r>
        <m:r>
          <m:t>n</m:t>
        </m:r>
        <m:r>
          <m:rPr>
            <m:sty m:val="p"/>
          </m:rPr>
          <m:t>*</m:t>
        </m:r>
        <m:r>
          <m:rPr>
            <m:sty m:val="p"/>
          </m:rPr>
          <m:t>*</m:t>
        </m:r>
        <m:r>
          <m:t>o</m:t>
        </m:r>
        <m:r>
          <m:t>v</m:t>
        </m:r>
        <m:r>
          <m:t>e</m:t>
        </m:r>
        <m:r>
          <m:t>r</m:t>
        </m:r>
        <m:r>
          <m:t>t</m:t>
        </m:r>
        <m:r>
          <m:t>h</m:t>
        </m:r>
        <m:r>
          <m:t>e</m:t>
        </m:r>
        <m:r>
          <m:t>r</m:t>
        </m:r>
        <m:r>
          <m:t>e</m:t>
        </m:r>
        <m:r>
          <m:t>m</m:t>
        </m:r>
        <m:r>
          <m:t>a</m:t>
        </m:r>
        <m:r>
          <m:t>i</m:t>
        </m:r>
        <m:r>
          <m:t>n</m:t>
        </m:r>
        <m:r>
          <m:t>i</m:t>
        </m:r>
        <m:r>
          <m:t>n</m:t>
        </m:r>
        <m:r>
          <m:t>g</m:t>
        </m:r>
        <m:r>
          <m:t>t</m:t>
        </m:r>
        <m:r>
          <m:t>h</m:t>
        </m:r>
        <m:r>
          <m:t>r</m:t>
        </m:r>
        <m:r>
          <m:t>e</m:t>
        </m:r>
        <m:r>
          <m:t>e</m:t>
        </m:r>
        <m:r>
          <m:t>q</m:t>
        </m:r>
        <m:r>
          <m:t>u</m:t>
        </m:r>
        <m:r>
          <m:t>a</m:t>
        </m:r>
        <m:r>
          <m:t>r</m:t>
        </m:r>
        <m:r>
          <m:t>t</m:t>
        </m:r>
        <m:r>
          <m:t>e</m:t>
        </m:r>
        <m:r>
          <m:t>r</m:t>
        </m:r>
        <m:r>
          <m:t>s</m:t>
        </m:r>
        <m:r>
          <m:t>t</m:t>
        </m:r>
        <m:r>
          <m:t>o</m:t>
        </m:r>
        <m:r>
          <m:t>r</m:t>
        </m:r>
        <m:r>
          <m:t>e</m:t>
        </m:r>
        <m:r>
          <m:t>a</m:t>
        </m:r>
        <m:r>
          <m:t>c</m:t>
        </m:r>
        <m:r>
          <m:t>h</m:t>
        </m:r>
        <m:r>
          <m:t>t</m:t>
        </m:r>
        <m:r>
          <m:t>h</m:t>
        </m:r>
        <m:r>
          <m:t>e</m:t>
        </m:r>
        <m:r>
          <m:t>c</m:t>
        </m:r>
        <m:r>
          <m:t>u</m:t>
        </m:r>
        <m:r>
          <m:t>r</m:t>
        </m:r>
        <m:r>
          <m:t>r</m:t>
        </m:r>
        <m:r>
          <m:t>e</m:t>
        </m:r>
        <m:r>
          <m:t>n</m:t>
        </m:r>
        <m:r>
          <m:t>t</m:t>
        </m:r>
        <m:r>
          <m:t>a</m:t>
        </m:r>
        <m:r>
          <m:t>n</m:t>
        </m:r>
        <m:r>
          <m:t>n</m:t>
        </m:r>
        <m:r>
          <m:t>u</m:t>
        </m:r>
        <m:r>
          <m:t>a</m:t>
        </m:r>
        <m:r>
          <m:t>l</m:t>
        </m:r>
        <m:r>
          <m:t>r</m:t>
        </m:r>
        <m:r>
          <m:t>a</m:t>
        </m:r>
        <m:r>
          <m:t>n</m:t>
        </m:r>
        <m:r>
          <m:t>g</m:t>
        </m:r>
        <m:r>
          <m:t>e</m:t>
        </m:r>
        <m:r>
          <m:rPr>
            <m:sty m:val="p"/>
          </m:rPr>
          <m:t>—</m:t>
        </m:r>
        <m:r>
          <m:t>a</m:t>
        </m:r>
        <m:r>
          <m:t>n</m:t>
        </m:r>
        <m:r>
          <m:t>a</m:t>
        </m:r>
        <m:r>
          <m:t>v</m:t>
        </m:r>
        <m:r>
          <m:t>e</m:t>
        </m:r>
        <m:r>
          <m:t>r</m:t>
        </m:r>
        <m:r>
          <m:t>a</m:t>
        </m:r>
        <m:r>
          <m:t>g</m:t>
        </m:r>
        <m:r>
          <m:t>e</m:t>
        </m:r>
        <m:r>
          <m:t>o</m:t>
        </m:r>
        <m:r>
          <m:t>f</m:t>
        </m:r>
        <m:r>
          <m:t>r</m:t>
        </m:r>
        <m:r>
          <m:t>o</m:t>
        </m:r>
        <m:r>
          <m:t>u</m:t>
        </m:r>
        <m:r>
          <m:t>g</m:t>
        </m:r>
        <m:r>
          <m:t>h</m:t>
        </m:r>
        <m:r>
          <m:t>l</m:t>
        </m:r>
        <m:r>
          <m:t>y</m:t>
        </m:r>
        <m:r>
          <m:rPr>
            <m:sty m:val="p"/>
          </m:rPr>
          <m:t>*</m:t>
        </m:r>
        <m:r>
          <m:rPr>
            <m:sty m:val="p"/>
          </m:rPr>
          <m:t>*</m:t>
        </m:r>
      </m:oMath>
      <w:r>
        <w:t xml:space="preserve">4.62–$4.87 billion per quarter**.</w:t>
      </w:r>
    </w:p>
    <w:p>
      <w:pPr>
        <w:pStyle w:val="BodyText"/>
      </w:pPr>
      <w:r>
        <w:t xml:space="preserve">The key implication: management’s revenue outlook still embeds meaningful execution and mobilization requirements in the back half. A second consecutive quarter of strong RPO conversion and large-project starts could make the current guidance look conservative. Conversely, a reiteration accompanied by slower project starts would likely reinforce the idea that the record backlog will take longer to burn.</w:t>
      </w:r>
    </w:p>
    <w:bookmarkEnd w:id="13"/>
    <w:bookmarkStart w:id="14" w:name="X2b9d6ced1cc26978f677267872b415b25b3f1ab"/>
    <w:p>
      <w:pPr>
        <w:pStyle w:val="Heading3"/>
      </w:pPr>
      <w:r>
        <w:t xml:space="preserve">2. RPO growth and, more importantly, its composition</w:t>
      </w:r>
    </w:p>
    <w:p>
      <w:pPr>
        <w:pStyle w:val="FirstParagraph"/>
      </w:pPr>
      <w:r>
        <w:t xml:space="preserve">The market should look beyond the aggregate RPO number.</w:t>
      </w:r>
    </w:p>
    <w:p>
      <w:pPr>
        <w:pStyle w:val="BodyText"/>
      </w:pPr>
      <w:r>
        <w:rPr>
          <w:b/>
          <w:bCs/>
        </w:rPr>
        <w:t xml:space="preserve">Constructive outcomes would include:</w:t>
      </w:r>
    </w:p>
    <w:p>
      <w:pPr>
        <w:pStyle w:val="Compact"/>
        <w:numPr>
          <w:ilvl w:val="0"/>
          <w:numId w:val="1004"/>
        </w:numPr>
      </w:pPr>
      <w:r>
        <w:t xml:space="preserve">Continued net RPO growth;</w:t>
      </w:r>
    </w:p>
    <w:p>
      <w:pPr>
        <w:pStyle w:val="Compact"/>
        <w:numPr>
          <w:ilvl w:val="0"/>
          <w:numId w:val="1004"/>
        </w:numPr>
      </w:pPr>
      <w:r>
        <w:t xml:space="preserve">Strong bookings in both electrical and mechanical construction;</w:t>
      </w:r>
    </w:p>
    <w:p>
      <w:pPr>
        <w:pStyle w:val="Compact"/>
        <w:numPr>
          <w:ilvl w:val="0"/>
          <w:numId w:val="1004"/>
        </w:numPr>
      </w:pPr>
      <w:r>
        <w:t xml:space="preserve">Ongoing demand in data centers alongside water/wastewater, healthcare, institutional, and manufacturing;</w:t>
      </w:r>
    </w:p>
    <w:p>
      <w:pPr>
        <w:pStyle w:val="Compact"/>
        <w:numPr>
          <w:ilvl w:val="0"/>
          <w:numId w:val="1004"/>
        </w:numPr>
      </w:pPr>
      <w:r>
        <w:t xml:space="preserve">Evidence that new work has an attractive risk-adjusted contract structure.</w:t>
      </w:r>
    </w:p>
    <w:p>
      <w:pPr>
        <w:pStyle w:val="FirstParagraph"/>
      </w:pPr>
      <w:r>
        <w:rPr>
          <w:b/>
          <w:bCs/>
        </w:rPr>
        <w:t xml:space="preserve">Potential concern:</w:t>
      </w:r>
    </w:p>
    <w:p>
      <w:pPr>
        <w:pStyle w:val="Compact"/>
        <w:numPr>
          <w:ilvl w:val="0"/>
          <w:numId w:val="1005"/>
        </w:numPr>
      </w:pPr>
      <w:r>
        <w:t xml:space="preserve">RPO still rises, but primarily through lower-margin prime-contractor/GMP work;</w:t>
      </w:r>
    </w:p>
    <w:p>
      <w:pPr>
        <w:pStyle w:val="Compact"/>
        <w:numPr>
          <w:ilvl w:val="0"/>
          <w:numId w:val="1005"/>
        </w:numPr>
      </w:pPr>
      <w:r>
        <w:t xml:space="preserve">Bookings slow sharply after the exceptional 1Q book-to-bill;</w:t>
      </w:r>
    </w:p>
    <w:p>
      <w:pPr>
        <w:pStyle w:val="Compact"/>
        <w:numPr>
          <w:ilvl w:val="0"/>
          <w:numId w:val="1005"/>
        </w:numPr>
      </w:pPr>
      <w:r>
        <w:t xml:space="preserve">Management offers less confidence around the timing of new project mobilizations.</w:t>
      </w:r>
    </w:p>
    <w:p>
      <w:pPr>
        <w:pStyle w:val="FirstParagraph"/>
      </w:pPr>
      <w:r>
        <w:t xml:space="preserve">At quarter-end, electrical RPO was</w:t>
      </w:r>
      <w:r>
        <w:t xml:space="preserve"> </w:t>
      </w:r>
      <m:oMath>
        <m:r>
          <m:t>5.61</m:t>
        </m:r>
        <m:r>
          <m:t>b</m:t>
        </m:r>
        <m:r>
          <m:t>i</m:t>
        </m:r>
        <m:r>
          <m:t>l</m:t>
        </m:r>
        <m:r>
          <m:t>l</m:t>
        </m:r>
        <m:r>
          <m:t>i</m:t>
        </m:r>
        <m:r>
          <m:t>o</m:t>
        </m:r>
        <m:r>
          <m:t>n</m:t>
        </m:r>
        <m:r>
          <m:rPr>
            <m:sty m:val="p"/>
          </m:rPr>
          <m:t>*</m:t>
        </m:r>
        <m:r>
          <m:rPr>
            <m:sty m:val="p"/>
          </m:rPr>
          <m:t>*</m:t>
        </m:r>
        <m:r>
          <m:t>a</m:t>
        </m:r>
        <m:r>
          <m:t>n</m:t>
        </m:r>
        <m:r>
          <m:t>d</m:t>
        </m:r>
        <m:r>
          <m:t>m</m:t>
        </m:r>
        <m:r>
          <m:t>e</m:t>
        </m:r>
        <m:r>
          <m:t>c</m:t>
        </m:r>
        <m:r>
          <m:t>h</m:t>
        </m:r>
        <m:r>
          <m:t>a</m:t>
        </m:r>
        <m:r>
          <m:t>n</m:t>
        </m:r>
        <m:r>
          <m:t>i</m:t>
        </m:r>
        <m:r>
          <m:t>c</m:t>
        </m:r>
        <m:r>
          <m:t>a</m:t>
        </m:r>
        <m:r>
          <m:t>l</m:t>
        </m:r>
        <m:r>
          <m:t>R</m:t>
        </m:r>
        <m:r>
          <m:t>P</m:t>
        </m:r>
        <m:r>
          <m:t>O</m:t>
        </m:r>
        <m:r>
          <m:t>w</m:t>
        </m:r>
        <m:r>
          <m:t>a</m:t>
        </m:r>
        <m:r>
          <m:t>s</m:t>
        </m:r>
        <m:r>
          <m:rPr>
            <m:sty m:val="p"/>
          </m:rPr>
          <m:t>*</m:t>
        </m:r>
        <m:r>
          <m:rPr>
            <m:sty m:val="p"/>
          </m:rPr>
          <m:t>*</m:t>
        </m:r>
      </m:oMath>
      <w:r>
        <w:rPr>
          <w:b/>
          <w:bCs/>
        </w:rPr>
        <w:t xml:space="preserve">8.56 billion</w:t>
      </w:r>
      <w:r>
        <w:t xml:space="preserve">. Mechanical represented 55% of total RPO and is consequently the larger determinant of both near-term growth and margin mix.</w:t>
      </w:r>
    </w:p>
    <w:bookmarkEnd w:id="14"/>
    <w:bookmarkStart w:id="15" w:name="Xc855cb89d6201ae5fcba106e48d9e282cf0615c"/>
    <w:p>
      <w:pPr>
        <w:pStyle w:val="Heading3"/>
      </w:pPr>
      <w:r>
        <w:t xml:space="preserve">3. Construction margin trajectory</w:t>
      </w:r>
    </w:p>
    <w:p>
      <w:pPr>
        <w:pStyle w:val="FirstParagraph"/>
      </w:pPr>
      <w:r>
        <w:t xml:space="preserve">The most important segment details: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Segment</w:t>
            </w:r>
          </w:p>
        </w:tc>
        <w:tc>
          <w:tcPr/>
          <w:p>
            <w:pPr>
              <w:pStyle w:val="Compact"/>
              <w:jc w:val="right"/>
            </w:pPr>
            <w:r>
              <w:t xml:space="preserve">1Q26 revenue growth</w:t>
            </w:r>
          </w:p>
        </w:tc>
        <w:tc>
          <w:tcPr/>
          <w:p>
            <w:pPr>
              <w:pStyle w:val="Compact"/>
              <w:jc w:val="right"/>
            </w:pPr>
            <w:r>
              <w:t xml:space="preserve">1Q26 operating margin</w:t>
            </w:r>
          </w:p>
        </w:tc>
        <w:tc>
          <w:tcPr/>
          <w:p>
            <w:pPr>
              <w:pStyle w:val="Compact"/>
            </w:pPr>
            <w:r>
              <w:t xml:space="preserve">Primary issue for 2Q</w:t>
            </w:r>
          </w:p>
        </w:tc>
      </w:tr>
      <w:tr>
        <w:tc>
          <w:tcPr/>
          <w:p>
            <w:pPr>
              <w:pStyle w:val="Compact"/>
            </w:pPr>
            <w:r>
              <w:t xml:space="preserve">Electrical construction &amp; facilities</w:t>
            </w:r>
          </w:p>
        </w:tc>
        <w:tc>
          <w:tcPr/>
          <w:p>
            <w:pPr>
              <w:pStyle w:val="Compact"/>
              <w:jc w:val="right"/>
            </w:pPr>
            <w:r>
              <w:t xml:space="preserve">33.1%</w:t>
            </w:r>
          </w:p>
        </w:tc>
        <w:tc>
          <w:tcPr/>
          <w:p>
            <w:pPr>
              <w:pStyle w:val="Compact"/>
              <w:jc w:val="right"/>
            </w:pPr>
            <w:r>
              <w:t xml:space="preserve">12.1%</w:t>
            </w:r>
          </w:p>
        </w:tc>
        <w:tc>
          <w:tcPr/>
          <w:p>
            <w:pPr>
              <w:pStyle w:val="Compact"/>
            </w:pPr>
            <w:r>
              <w:t xml:space="preserve">Sustain execution and data-center growth while absorbing acquisition-related amortization</w:t>
            </w:r>
          </w:p>
        </w:tc>
      </w:tr>
      <w:tr>
        <w:tc>
          <w:tcPr/>
          <w:p>
            <w:pPr>
              <w:pStyle w:val="Compact"/>
            </w:pPr>
            <w:r>
              <w:t xml:space="preserve">Mechanical construction &amp; facilities</w:t>
            </w:r>
          </w:p>
        </w:tc>
        <w:tc>
          <w:tcPr/>
          <w:p>
            <w:pPr>
              <w:pStyle w:val="Compact"/>
              <w:jc w:val="right"/>
            </w:pPr>
            <w:r>
              <w:t xml:space="preserve">28.9%</w:t>
            </w:r>
          </w:p>
        </w:tc>
        <w:tc>
          <w:tcPr/>
          <w:p>
            <w:pPr>
              <w:pStyle w:val="Compact"/>
              <w:jc w:val="right"/>
            </w:pPr>
            <w:r>
              <w:t xml:space="preserve">10.9%</w:t>
            </w:r>
          </w:p>
        </w:tc>
        <w:tc>
          <w:tcPr/>
          <w:p>
            <w:pPr>
              <w:pStyle w:val="Compact"/>
            </w:pPr>
            <w:r>
              <w:t xml:space="preserve">Whether GMP/prime-contractor mix remains a material margin headwind</w:t>
            </w:r>
          </w:p>
        </w:tc>
      </w:tr>
      <w:tr>
        <w:tc>
          <w:tcPr/>
          <w:p>
            <w:pPr>
              <w:pStyle w:val="Compact"/>
            </w:pPr>
            <w:r>
              <w:t xml:space="preserve">Building services</w:t>
            </w:r>
          </w:p>
        </w:tc>
        <w:tc>
          <w:tcPr/>
          <w:p>
            <w:pPr>
              <w:pStyle w:val="Compact"/>
              <w:jc w:val="right"/>
            </w:pPr>
            <w:r>
              <w:t xml:space="preserve">4.0%</w:t>
            </w:r>
          </w:p>
        </w:tc>
        <w:tc>
          <w:tcPr/>
          <w:p>
            <w:pPr>
              <w:pStyle w:val="Compact"/>
              <w:jc w:val="right"/>
            </w:pPr>
            <w:r>
              <w:t xml:space="preserve">5.2%</w:t>
            </w:r>
          </w:p>
        </w:tc>
        <w:tc>
          <w:tcPr/>
          <w:p>
            <w:pPr>
              <w:pStyle w:val="Compact"/>
            </w:pPr>
            <w:r>
              <w:t xml:space="preserve">Continued benefits from site-based restructuring and higher-margin service/controls work</w:t>
            </w:r>
          </w:p>
        </w:tc>
      </w:tr>
      <w:tr>
        <w:tc>
          <w:tcPr/>
          <w:p>
            <w:pPr>
              <w:pStyle w:val="Compact"/>
            </w:pPr>
            <w:r>
              <w:t xml:space="preserve">Industrial services</w:t>
            </w:r>
          </w:p>
        </w:tc>
        <w:tc>
          <w:tcPr/>
          <w:p>
            <w:pPr>
              <w:pStyle w:val="Compact"/>
              <w:jc w:val="right"/>
            </w:pPr>
            <w:r>
              <w:t xml:space="preserve">6.4%</w:t>
            </w:r>
          </w:p>
        </w:tc>
        <w:tc>
          <w:tcPr/>
          <w:p>
            <w:pPr>
              <w:pStyle w:val="Compact"/>
              <w:jc w:val="right"/>
            </w:pPr>
            <w:r>
              <w:t xml:space="preserve">3.3%</w:t>
            </w:r>
          </w:p>
        </w:tc>
        <w:tc>
          <w:tcPr/>
          <w:p>
            <w:pPr>
              <w:pStyle w:val="Compact"/>
            </w:pPr>
            <w:r>
              <w:t xml:space="preserve">Sustainability of field-services improvement after favorable comparison and solar-project contribution</w:t>
            </w:r>
          </w:p>
        </w:tc>
      </w:tr>
    </w:tbl>
    <w:p>
      <w:pPr>
        <w:pStyle w:val="BodyText"/>
      </w:pPr>
      <w:r>
        <w:t xml:space="preserve">For the full company, a result near the high end of the</w:t>
      </w:r>
      <w:r>
        <w:t xml:space="preserve"> </w:t>
      </w:r>
      <w:r>
        <w:rPr>
          <w:b/>
          <w:bCs/>
        </w:rPr>
        <w:t xml:space="preserve">9.0%–9.4%</w:t>
      </w:r>
      <w:r>
        <w:t xml:space="preserve"> </w:t>
      </w:r>
      <w:r>
        <w:t xml:space="preserve">operating-margin guide would validate management’s argument that mix pressure is manageable. A meaningful decline in mechanical margins without offsetting electrical, building-services, or corporate leverage would be the most consequential negative surprise.</w:t>
      </w:r>
    </w:p>
    <w:bookmarkEnd w:id="15"/>
    <w:bookmarkStart w:id="16" w:name="X2a67b55d6c6e6e36e1e47d7acc205ee055ac4af"/>
    <w:p>
      <w:pPr>
        <w:pStyle w:val="Heading3"/>
      </w:pPr>
      <w:r>
        <w:t xml:space="preserve">4. Data-center commentary: strong demand is expected—capacity is the differentiator</w:t>
      </w:r>
    </w:p>
    <w:p>
      <w:pPr>
        <w:pStyle w:val="FirstParagraph"/>
      </w:pPr>
      <w:r>
        <w:t xml:space="preserve">Management said in April it saw</w:t>
      </w:r>
      <w:r>
        <w:t xml:space="preserve"> </w:t>
      </w:r>
      <w:r>
        <w:rPr>
          <w:b/>
          <w:bCs/>
        </w:rPr>
        <w:t xml:space="preserve">“no sign of slowing demand”</w:t>
      </w:r>
      <w:r>
        <w:t xml:space="preserve"> </w:t>
      </w:r>
      <w:r>
        <w:t xml:space="preserve">in data centers. That remains a major positive, but the better questions are operational:</w:t>
      </w:r>
    </w:p>
    <w:p>
      <w:pPr>
        <w:pStyle w:val="Compact"/>
        <w:numPr>
          <w:ilvl w:val="0"/>
          <w:numId w:val="1006"/>
        </w:numPr>
      </w:pPr>
      <w:r>
        <w:t xml:space="preserve">Can EME recruit and retain enough craft labor?</w:t>
      </w:r>
    </w:p>
    <w:p>
      <w:pPr>
        <w:pStyle w:val="Compact"/>
        <w:numPr>
          <w:ilvl w:val="0"/>
          <w:numId w:val="1006"/>
        </w:numPr>
      </w:pPr>
      <w:r>
        <w:t xml:space="preserve">Can it develop sufficient frontline supervision, foremen, project managers, and project executives?</w:t>
      </w:r>
    </w:p>
    <w:p>
      <w:pPr>
        <w:pStyle w:val="Compact"/>
        <w:numPr>
          <w:ilvl w:val="0"/>
          <w:numId w:val="1006"/>
        </w:numPr>
      </w:pPr>
      <w:r>
        <w:t xml:space="preserve">Are prefabrication investments keeping pace with opportunity?</w:t>
      </w:r>
    </w:p>
    <w:p>
      <w:pPr>
        <w:pStyle w:val="Compact"/>
        <w:numPr>
          <w:ilvl w:val="0"/>
          <w:numId w:val="1006"/>
        </w:numPr>
      </w:pPr>
      <w:r>
        <w:t xml:space="preserve">Is the company retaining appropriate contract protections on fast-moving, design-evolving AI projects?</w:t>
      </w:r>
    </w:p>
    <w:p>
      <w:pPr>
        <w:pStyle w:val="FirstParagraph"/>
      </w:pPr>
      <w:r>
        <w:t xml:space="preserve">Management has identified field leadership and supervisory depth—not equipment availability—as its principal capacity constraint. Commentary indicating that labor and supervision are keeping pace would support confidence in the growth outlook.</w:t>
      </w:r>
    </w:p>
    <w:bookmarkEnd w:id="16"/>
    <w:bookmarkStart w:id="17" w:name="X66450b80550b5946b7cd9006819ef69bdd1bfbc"/>
    <w:p>
      <w:pPr>
        <w:pStyle w:val="Heading3"/>
      </w:pPr>
      <w:r>
        <w:t xml:space="preserve">5. Cash flow and working capital</w:t>
      </w:r>
    </w:p>
    <w:p>
      <w:pPr>
        <w:pStyle w:val="FirstParagraph"/>
      </w:pPr>
      <w:r>
        <w:t xml:space="preserve">First-quarter operating cash flow was essentially breakeven—</w:t>
      </w:r>
      <w:r>
        <w:rPr>
          <w:b/>
          <w:bCs/>
        </w:rPr>
        <w:t xml:space="preserve">$0.6 million</w:t>
      </w:r>
      <w:r>
        <w:t xml:space="preserve">, versus net income of $305.5 million—because receivables rose alongside rapid revenue growth and the company paid prior-year incentive compensation.</w:t>
      </w:r>
    </w:p>
    <w:p>
      <w:pPr>
        <w:pStyle w:val="BodyText"/>
      </w:pPr>
      <w:r>
        <w:t xml:space="preserve">Management characterized 1Q as its seasonal low point and reiterated an expectation for full-year operating cash flow of at least net income, or approximately</w:t>
      </w:r>
      <w:r>
        <w:t xml:space="preserve"> </w:t>
      </w:r>
      <w:r>
        <w:rPr>
          <w:b/>
          <w:bCs/>
        </w:rPr>
        <w:t xml:space="preserve">80%–85% of operating income</w:t>
      </w:r>
      <w:r>
        <w:t xml:space="preserve">. Investors should expect working-capital conversion to improve during the year, particularly in 4Q. A weak 2Q cash-flow result would not by itself invalidate the story, but it would increase scrutiny of receivables, billing terms, and project cash conversion.</w:t>
      </w:r>
    </w:p>
    <w:p>
      <w:pPr>
        <w:pStyle w:val="BodyText"/>
      </w:pPr>
      <w:r>
        <w:t xml:space="preserve">Liquidity is not a near-term issue: EMCOR ended 1Q with</w:t>
      </w:r>
      <w:r>
        <w:t xml:space="preserve"> </w:t>
      </w:r>
      <m:oMath>
        <m:r>
          <m:t>916</m:t>
        </m:r>
        <m:r>
          <m:t>m</m:t>
        </m:r>
        <m:r>
          <m:t>i</m:t>
        </m:r>
        <m:r>
          <m:t>l</m:t>
        </m:r>
        <m:r>
          <m:t>l</m:t>
        </m:r>
        <m:r>
          <m:t>i</m:t>
        </m:r>
        <m:r>
          <m:t>o</m:t>
        </m:r>
        <m:r>
          <m:t>n</m:t>
        </m:r>
        <m:r>
          <m:t>o</m:t>
        </m:r>
        <m:r>
          <m:t>f</m:t>
        </m:r>
        <m:r>
          <m:t>c</m:t>
        </m:r>
        <m:r>
          <m:t>a</m:t>
        </m:r>
        <m:r>
          <m:t>s</m:t>
        </m:r>
        <m:r>
          <m:t>h</m:t>
        </m:r>
        <m:r>
          <m:rPr>
            <m:sty m:val="p"/>
          </m:rPr>
          <m:t>*</m:t>
        </m:r>
        <m:r>
          <m:rPr>
            <m:sty m:val="p"/>
          </m:rPr>
          <m:t>*</m:t>
        </m:r>
        <m:r>
          <m:rPr>
            <m:sty m:val="p"/>
          </m:rPr>
          <m:t>,</m:t>
        </m:r>
        <m:r>
          <m:t>n</m:t>
        </m:r>
        <m:r>
          <m:t>o</m:t>
        </m:r>
        <m:r>
          <m:t>d</m:t>
        </m:r>
        <m:r>
          <m:t>i</m:t>
        </m:r>
        <m:r>
          <m:t>r</m:t>
        </m:r>
        <m:r>
          <m:t>e</m:t>
        </m:r>
        <m:r>
          <m:t>c</m:t>
        </m:r>
        <m:r>
          <m:t>t</m:t>
        </m:r>
        <m:r>
          <m:t>r</m:t>
        </m:r>
        <m:r>
          <m:t>e</m:t>
        </m:r>
        <m:r>
          <m:t>v</m:t>
        </m:r>
        <m:r>
          <m:t>o</m:t>
        </m:r>
        <m:r>
          <m:t>l</m:t>
        </m:r>
        <m:r>
          <m:t>v</m:t>
        </m:r>
        <m:r>
          <m:t>e</m:t>
        </m:r>
        <m:r>
          <m:t>r</m:t>
        </m:r>
        <m:r>
          <m:t>b</m:t>
        </m:r>
        <m:r>
          <m:t>o</m:t>
        </m:r>
        <m:r>
          <m:t>r</m:t>
        </m:r>
        <m:r>
          <m:t>r</m:t>
        </m:r>
        <m:r>
          <m:t>o</m:t>
        </m:r>
        <m:r>
          <m:t>w</m:t>
        </m:r>
        <m:r>
          <m:t>i</m:t>
        </m:r>
        <m:r>
          <m:t>n</m:t>
        </m:r>
        <m:r>
          <m:t>g</m:t>
        </m:r>
        <m:r>
          <m:t>s</m:t>
        </m:r>
        <m:r>
          <m:rPr>
            <m:sty m:val="p"/>
          </m:rPr>
          <m:t>,</m:t>
        </m:r>
        <m:r>
          <m:t>a</m:t>
        </m:r>
        <m:r>
          <m:t>n</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1.23 billion</w:t>
      </w:r>
      <w:r>
        <w:t xml:space="preserve"> </w:t>
      </w:r>
      <w:r>
        <w:t xml:space="preserve">of revolver availability.</w:t>
      </w:r>
    </w:p>
    <w:bookmarkEnd w:id="17"/>
    <w:bookmarkEnd w:id="18"/>
    <w:bookmarkStart w:id="19" w:name="stock-setup"/>
    <w:p>
      <w:pPr>
        <w:pStyle w:val="Heading2"/>
      </w:pPr>
      <w:r>
        <w:t xml:space="preserve">Stock setup</w:t>
      </w:r>
    </w:p>
    <w:p>
      <w:pPr>
        <w:pStyle w:val="FirstParagraph"/>
      </w:pPr>
      <w:r>
        <w:t xml:space="preserve">EME closed at</w:t>
      </w:r>
      <w:r>
        <w:t xml:space="preserve"> </w:t>
      </w:r>
      <w:r>
        <w:rPr>
          <w:b/>
          <w:bCs/>
        </w:rPr>
        <w:t xml:space="preserve">$684.02 on July 29, 2026</w:t>
      </w:r>
      <w:r>
        <w:t xml:space="preserve">. The shares are still up roughly</w:t>
      </w:r>
      <w:r>
        <w:t xml:space="preserve"> </w:t>
      </w:r>
      <w:r>
        <w:rPr>
          <w:b/>
          <w:bCs/>
        </w:rPr>
        <w:t xml:space="preserve">11.8% year to date</w:t>
      </w:r>
      <w:r>
        <w:t xml:space="preserve">, but have fallen about</w:t>
      </w:r>
      <w:r>
        <w:t xml:space="preserve"> </w:t>
      </w:r>
      <w:r>
        <w:rPr>
          <w:b/>
          <w:bCs/>
        </w:rPr>
        <w:t xml:space="preserve">17.9%</w:t>
      </w:r>
      <w:r>
        <w:t xml:space="preserve"> </w:t>
      </w:r>
      <w:r>
        <w:t xml:space="preserve">since the April 29 first-quarter earnings-date close and about</w:t>
      </w:r>
      <w:r>
        <w:t xml:space="preserve"> </w:t>
      </w:r>
      <w:r>
        <w:rPr>
          <w:b/>
          <w:bCs/>
        </w:rPr>
        <w:t xml:space="preserve">27.5%</w:t>
      </w:r>
      <w:r>
        <w:t xml:space="preserve"> </w:t>
      </w:r>
      <w:r>
        <w:t xml:space="preserve">from the May 6 closing high of $943.75.</w:t>
      </w:r>
    </w:p>
    <w:p>
      <w:pPr>
        <w:pStyle w:val="BodyText"/>
      </w:pPr>
      <w:r>
        <w:t xml:space="preserve">That pullback creates a more balanced setup than immediately after 1Q:</w:t>
      </w:r>
    </w:p>
    <w:p>
      <w:pPr>
        <w:pStyle w:val="Compact"/>
        <w:numPr>
          <w:ilvl w:val="0"/>
          <w:numId w:val="1007"/>
        </w:numPr>
      </w:pPr>
      <w:r>
        <w:rPr>
          <w:b/>
          <w:bCs/>
        </w:rPr>
        <w:t xml:space="preserve">Positive interpretation:</w:t>
      </w:r>
      <w:r>
        <w:t xml:space="preserve"> </w:t>
      </w:r>
      <w:r>
        <w:t xml:space="preserve">expectations may have reset, leaving room for upside if EMCOR confirms sustained bookings, revenue conversion, and stable margins.</w:t>
      </w:r>
    </w:p>
    <w:p>
      <w:pPr>
        <w:pStyle w:val="Compact"/>
        <w:numPr>
          <w:ilvl w:val="0"/>
          <w:numId w:val="1007"/>
        </w:numPr>
      </w:pPr>
      <w:r>
        <w:rPr>
          <w:b/>
          <w:bCs/>
        </w:rPr>
        <w:t xml:space="preserve">Negative interpretation:</w:t>
      </w:r>
      <w:r>
        <w:t xml:space="preserve"> </w:t>
      </w:r>
      <w:r>
        <w:t xml:space="preserve">the retracement may reflect investor concern that data-center-related revenue growth is becoming more mix-dilutive, less durable, or harder to convert into the same level of percentage margins.</w:t>
      </w:r>
    </w:p>
    <w:p>
      <w:pPr>
        <w:pStyle w:val="FirstParagraph"/>
      </w:pPr>
      <w:r>
        <w:t xml:space="preserve">In short, a simple earnings beat may not be enough. The stock likely needs confidence that guidance has upside and that margins remain structurally robust as the company pursues more large, complex work.</w:t>
      </w:r>
    </w:p>
    <w:bookmarkEnd w:id="19"/>
    <w:bookmarkStart w:id="20" w:name="bottom-line"/>
    <w:p>
      <w:pPr>
        <w:pStyle w:val="Heading2"/>
      </w:pPr>
      <w:r>
        <w:t xml:space="preserve">Bottom line</w:t>
      </w:r>
    </w:p>
    <w:p>
      <w:pPr>
        <w:pStyle w:val="FirstParagraph"/>
      </w:pPr>
      <w:r>
        <w:t xml:space="preserve">EMCOR remains one of the cleaner public-market ways to participate in mission-critical construction, particularly data centers and electrical/mechanical infrastructure, while retaining meaningful diversification across services and non-tech end markets.</w:t>
      </w:r>
    </w:p>
    <w:p>
      <w:pPr>
        <w:pStyle w:val="BodyText"/>
      </w:pPr>
      <w:r>
        <w:rPr>
          <w:b/>
          <w:bCs/>
        </w:rPr>
        <w:t xml:space="preserve">For the July 30 report, the highest-value signals are:</w:t>
      </w:r>
    </w:p>
    <w:p>
      <w:pPr>
        <w:pStyle w:val="Compact"/>
        <w:numPr>
          <w:ilvl w:val="0"/>
          <w:numId w:val="1008"/>
        </w:numPr>
      </w:pPr>
      <w:r>
        <w:rPr>
          <w:b/>
          <w:bCs/>
        </w:rPr>
        <w:t xml:space="preserve">RPO/bookings:</w:t>
      </w:r>
      <w:r>
        <w:t xml:space="preserve"> </w:t>
      </w:r>
      <w:r>
        <w:t xml:space="preserve">Does record backlog continue to grow, and is the mix healthy?</w:t>
      </w:r>
    </w:p>
    <w:p>
      <w:pPr>
        <w:pStyle w:val="Compact"/>
        <w:numPr>
          <w:ilvl w:val="0"/>
          <w:numId w:val="1008"/>
        </w:numPr>
      </w:pPr>
      <w:r>
        <w:rPr>
          <w:b/>
          <w:bCs/>
        </w:rPr>
        <w:t xml:space="preserve">Guidance:</w:t>
      </w:r>
      <w:r>
        <w:t xml:space="preserve"> </w:t>
      </w:r>
      <w:r>
        <w:t xml:space="preserve">Is the</w:t>
      </w:r>
      <w:r>
        <w:t xml:space="preserve"> </w:t>
      </w:r>
      <m:oMath>
        <m:r>
          <m:t>18.5</m:t>
        </m:r>
        <m:r>
          <m:rPr>
            <m:sty m:val="p"/>
          </m:rPr>
          <m:t>–</m:t>
        </m:r>
      </m:oMath>
      <w:r>
        <w:t xml:space="preserve">19.25 billion revenue range increasingly conservative, or merely achievable?</w:t>
      </w:r>
    </w:p>
    <w:p>
      <w:pPr>
        <w:pStyle w:val="Compact"/>
        <w:numPr>
          <w:ilvl w:val="0"/>
          <w:numId w:val="1008"/>
        </w:numPr>
      </w:pPr>
      <w:r>
        <w:rPr>
          <w:b/>
          <w:bCs/>
        </w:rPr>
        <w:t xml:space="preserve">Mechanical margin:</w:t>
      </w:r>
      <w:r>
        <w:t xml:space="preserve"> </w:t>
      </w:r>
      <w:r>
        <w:t xml:space="preserve">Is 1Q’s 10.9% margin a manageable mix effect or the beginning of sustained dilution?</w:t>
      </w:r>
    </w:p>
    <w:p>
      <w:pPr>
        <w:pStyle w:val="Compact"/>
        <w:numPr>
          <w:ilvl w:val="0"/>
          <w:numId w:val="1008"/>
        </w:numPr>
      </w:pPr>
      <w:r>
        <w:rPr>
          <w:b/>
          <w:bCs/>
        </w:rPr>
        <w:t xml:space="preserve">Project mobilization:</w:t>
      </w:r>
      <w:r>
        <w:t xml:space="preserve"> </w:t>
      </w:r>
      <w:r>
        <w:t xml:space="preserve">Are recently awarded large projects converting into 2026 revenue on schedule?</w:t>
      </w:r>
    </w:p>
    <w:p>
      <w:pPr>
        <w:pStyle w:val="Compact"/>
        <w:numPr>
          <w:ilvl w:val="0"/>
          <w:numId w:val="1008"/>
        </w:numPr>
      </w:pPr>
      <w:r>
        <w:rPr>
          <w:b/>
          <w:bCs/>
        </w:rPr>
        <w:t xml:space="preserve">Cash conversion:</w:t>
      </w:r>
      <w:r>
        <w:t xml:space="preserve"> </w:t>
      </w:r>
      <w:r>
        <w:t xml:space="preserve">Does working capital begin to normalize after the 1Q receivables build?</w:t>
      </w:r>
    </w:p>
    <w:p>
      <w:pPr>
        <w:pStyle w:val="FirstParagraph"/>
      </w:pPr>
      <w:r>
        <w:t xml:space="preserve">A report showing another quarter of strong revenue conversion, stable consolidated margins, continued RPO momentum, and at least a firm reiteration of guidance would reinforce the bull case. The primary downside scenario is not a collapse in demand; it is an outcome where rapid revenue growth persists but contract mix, mobilization timing, and working-capital needs prevent that growth from translating into the earnings and cash-flow upside investors expect.</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2026-07-29T19:01:53Z</dcterms:created>
  <dcterms:modified xsi:type="dcterms:W3CDTF">2026-07-29T19:01:53Z</dcterms:modified>
</cp:coreProperties>
</file>

<file path=docProps/custom.xml><?xml version="1.0" encoding="utf-8"?>
<Properties xmlns="http://schemas.openxmlformats.org/officeDocument/2006/custom-properties" xmlns:vt="http://schemas.openxmlformats.org/officeDocument/2006/docPropsVTypes"/>
</file>