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e-earnings-predictions--2026-07-30"/>
    <w:p>
      <w:pPr>
        <w:pStyle w:val="Heading1"/>
      </w:pPr>
      <w:r>
        <w:t xml:space="preserve">EME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~$4.85B vs. cons $4.711B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Mech. Segment Op.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~12.3% vs. cons 12.1%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Adj.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~$7.65 vs. cons $7.27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19.0</m:t>
              </m:r>
              <m:r>
                <m:rPr>
                  <m:sty m:val="p"/>
                </m:rPr>
                <m:t>−</m:t>
              </m:r>
            </m:oMath>
            <w:r>
              <w:t xml:space="preserve">19.5B (mid $19.25B) vs. cons $18.997B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29.50</m:t>
              </m:r>
              <m:r>
                <m:rPr>
                  <m:sty m:val="p"/>
                </m:rPr>
                <m:t>−</m:t>
              </m:r>
            </m:oMath>
            <w:r>
              <w:t xml:space="preserve">30.50 (mid $30.00) vs. cons $29.41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- initial sell-on-the-news day-0 followed by recovery as mechanical margin beat is digested and FY estimates revised up; flips to FOLLOW-THROUGH negative if H2 mechanical tone is cautious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2026-08-01T02:01:43Z</dcterms:created>
  <dcterms:modified xsi:type="dcterms:W3CDTF">2026-08-01T02:01:43Z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