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EMCOR Group, Inc. (EME)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EMCOR Group, Inc.</w:t>
            </w:r>
          </w:p>
        </w:tc>
      </w:tr>
      <w:tr>
        <w:tc>
          <w:tcPr>
            <w:tcW w:type="dxa" w:w="4320"/>
          </w:tcPr>
          <w:p>
            <w:r>
              <w:rPr>
                <w:rFonts w:ascii="Calibri" w:hAnsi="Calibri"/>
                <w:b/>
                <w:sz w:val="22"/>
              </w:rPr>
              <w:t>Ticker</w:t>
            </w:r>
          </w:p>
        </w:tc>
        <w:tc>
          <w:tcPr>
            <w:tcW w:type="dxa" w:w="4320"/>
          </w:tcPr>
          <w:p>
            <w:r>
              <w:rPr>
                <w:rFonts w:ascii="Calibri" w:hAnsi="Calibri"/>
                <w:sz w:val="22"/>
              </w:rPr>
              <w:t>NYSE: EME</w:t>
            </w:r>
          </w:p>
        </w:tc>
      </w:tr>
      <w:tr>
        <w:tc>
          <w:tcPr>
            <w:tcW w:type="dxa" w:w="4320"/>
          </w:tcPr>
          <w:p>
            <w:r>
              <w:rPr>
                <w:rFonts w:ascii="Calibri" w:hAnsi="Calibri"/>
                <w:b/>
                <w:sz w:val="22"/>
              </w:rPr>
              <w:t>Upcoming Earnings Date</w:t>
            </w:r>
          </w:p>
        </w:tc>
        <w:tc>
          <w:tcPr>
            <w:tcW w:type="dxa" w:w="4320"/>
          </w:tcPr>
          <w:p>
            <w:r>
              <w:rPr>
                <w:rFonts w:ascii="Calibri" w:hAnsi="Calibri"/>
                <w:sz w:val="22"/>
              </w:rPr>
              <w:t>July 30,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Sector ETF (Chart)</w:t>
            </w:r>
          </w:p>
        </w:tc>
        <w:tc>
          <w:tcPr>
            <w:tcW w:type="dxa" w:w="4320"/>
          </w:tcPr>
          <w:p>
            <w:r>
              <w:rPr>
                <w:rFonts w:ascii="Calibri" w:hAnsi="Calibri"/>
                <w:sz w:val="22"/>
              </w:rPr>
              <w:t>ITA (iShares U.S. Aerospace &amp; Defense / Industrial)</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the bar is high — consensus expects a strong sequential step-up in EPS to ~$7.27 on ~$4.71B revenue, and with the stock down ~19% from its post-Q1 peak, the market has already partially de-rated EME, creating a more balanced risk/reward heading into the print.</w:t>
      </w:r>
    </w:p>
    <w:p>
      <w:r>
        <w:rPr>
          <w:rFonts w:ascii="Calibri" w:hAnsi="Calibri"/>
          <w:b/>
          <w:color w:val="525866"/>
          <w:sz w:val="22"/>
        </w:rPr>
        <w:t xml:space="preserve">Bar: </w:t>
      </w:r>
      <w:r>
        <w:rPr>
          <w:rFonts w:ascii="Calibri" w:hAnsi="Calibri"/>
          <w:color w:val="525866"/>
          <w:sz w:val="22"/>
        </w:rPr>
        <w:t xml:space="preserve">Consensus is pricing in a meaningful acceleration from Q1 2026 — EPS of $7.27 vs. $6.84 in Q1 and $6.72 in Q2 2025, implying ~8% YoY growth — which is a high but achievable bar given the record $15.6B RPO base and management's explicit confidence in back-half execution. </w:t>
      </w:r>
      <w:r>
        <w:rPr>
          <w:rFonts w:ascii="Calibri" w:hAnsi="Calibri"/>
          <w:b/>
          <w:color w:val="525866"/>
          <w:sz w:val="22"/>
        </w:rPr>
        <w:t>Revenue consensus of $4.71B implies ~9.4% YoY growth</w:t>
      </w:r>
      <w:r>
        <w:rPr>
          <w:rFonts w:ascii="Calibri" w:hAnsi="Calibri"/>
          <w:color w:val="525866"/>
          <w:sz w:val="22"/>
        </w:rPr>
        <w:t xml:space="preserve">, consistent with the raised full-year guidance range of $18.5B–$19.25B. </w:t>
      </w:r>
      <w:r>
        <w:rPr>
          <w:rFonts w:ascii="Calibri" w:hAnsi="Calibri"/>
          <w:b/>
          <w:color w:val="525866"/>
          <w:sz w:val="22"/>
        </w:rPr>
        <w:t xml:space="preserve">Guidance/Tone: </w:t>
      </w:r>
      <w:r>
        <w:rPr>
          <w:rFonts w:ascii="Calibri" w:hAnsi="Calibri"/>
          <w:color w:val="525866"/>
          <w:sz w:val="22"/>
        </w:rPr>
        <w:t xml:space="preserve">Management's posture on the Q1 call was notably confident — they raised both revenue and EPS guidance above prior consensus, cited no slowdown in data center demand, and explicitly stated they see "no slowing of demand, especially in data centers and really across other key market sectors." The tone has not shifted since; no post-earnings guidance revisions or 8-Ks have been filed. </w:t>
      </w:r>
      <w:r>
        <w:rPr>
          <w:rFonts w:ascii="Calibri" w:hAnsi="Calibri"/>
          <w:b/>
          <w:color w:val="525866"/>
          <w:sz w:val="22"/>
        </w:rPr>
        <w:t xml:space="preserve">Estimate Trajectory: </w:t>
      </w:r>
      <w:r>
        <w:rPr>
          <w:rFonts w:ascii="Calibri" w:hAnsi="Calibri"/>
          <w:color w:val="525866"/>
          <w:sz w:val="22"/>
        </w:rPr>
        <w:t xml:space="preserve">Q2 2026 EPS estimates have been essentially flat since the Q1 print ($7.29 as of May 6 vs. $7.27 current), suggesting the street has largely digested the raised guidance without further upward revision — a modest cushion if execution is clean. Full-year estimates have similarly held steady. </w:t>
      </w:r>
      <w:r>
        <w:rPr>
          <w:rFonts w:ascii="Calibri" w:hAnsi="Calibri"/>
          <w:b/>
          <w:color w:val="525866"/>
          <w:sz w:val="22"/>
        </w:rPr>
        <w:t xml:space="preserve">Stock Setup: </w:t>
      </w:r>
      <w:r>
        <w:rPr>
          <w:rFonts w:ascii="Calibri" w:hAnsi="Calibri"/>
          <w:color w:val="525866"/>
          <w:sz w:val="22"/>
        </w:rPr>
        <w:t xml:space="preserve">EME has underperformed both the S&amp;P 500 and the ITA sector ETF since Q1 earnings, falling ~19% from its post-earnings high to ~$672 as of July 30 pre-market, while ITA is up ~11% and SPY is up ~2.5% over the same period. The de-rating appears driven by multiple compression rather than estimate cuts, creating a more attractive entry point. </w:t>
      </w:r>
      <w:r>
        <w:rPr>
          <w:rFonts w:ascii="Calibri" w:hAnsi="Calibri"/>
          <w:b/>
          <w:color w:val="525866"/>
          <w:sz w:val="22"/>
        </w:rPr>
        <w:t xml:space="preserve">Wildcard: </w:t>
      </w:r>
      <w:r>
        <w:rPr>
          <w:rFonts w:ascii="Calibri" w:hAnsi="Calibri"/>
          <w:color w:val="525866"/>
          <w:sz w:val="22"/>
        </w:rPr>
        <w:t>The single biggest swing factor is mechanical segment margin — Q1 saw a notable step-down to 10.9% (vs. 13.6% in Q2 2025) due to GMP/cost-plus mix shift in AI data center work in newer geographies. If mechanical margins recover toward the 12%+ range in Q2, it would be a meaningful positive surprise; if the mix headwind persists or worsens, it could disappoint even on strong revenue.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 but achievable bar — revenue of $4.71B and EPS of $7.27 both imply solid YoY growth off already-elevated 2025 comparables. </w:t>
      </w:r>
      <w:r>
        <w:rPr>
          <w:rFonts w:ascii="Calibri" w:hAnsi="Calibri"/>
          <w:b/>
          <w:color w:val="525866"/>
          <w:sz w:val="22"/>
        </w:rPr>
        <w:t>Mechanical segment margin is the bigger swing factor</w:t>
      </w:r>
      <w:r>
        <w:rPr>
          <w:rFonts w:ascii="Calibri" w:hAnsi="Calibri"/>
          <w:color w:val="525866"/>
          <w:sz w:val="22"/>
        </w:rPr>
        <w:t>; consensus expects recovery to ~12.1% from Q1’s 10.9% dip, and any miss there would weigh on the print even if revenue is in-line.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Revenue ($B)</w:t>
            </w:r>
          </w:p>
        </w:tc>
        <w:tc>
          <w:tcPr>
            <w:tcW w:type="dxa" w:w="1234"/>
          </w:tcPr>
          <w:p>
            <w:r>
              <w:rPr>
                <w:rFonts w:ascii="Calibri" w:hAnsi="Calibri"/>
                <w:sz w:val="22"/>
              </w:rPr>
              <w:t>$4.628B</w:t>
            </w:r>
          </w:p>
        </w:tc>
        <w:tc>
          <w:tcPr>
            <w:tcW w:type="dxa" w:w="1234"/>
          </w:tcPr>
          <w:p>
            <w:r>
              <w:rPr>
                <w:rFonts w:ascii="Calibri" w:hAnsi="Calibri"/>
                <w:sz w:val="22"/>
              </w:rPr>
              <w:t>$4.304B</w:t>
            </w:r>
          </w:p>
        </w:tc>
        <w:tc>
          <w:tcPr>
            <w:tcW w:type="dxa" w:w="1234"/>
          </w:tcPr>
          <w:p>
            <w:r>
              <w:rPr>
                <w:rFonts w:ascii="Calibri" w:hAnsi="Calibri"/>
                <w:sz w:val="22"/>
              </w:rPr>
              <w:t>$4.712B</w:t>
            </w:r>
          </w:p>
        </w:tc>
        <w:tc>
          <w:tcPr>
            <w:tcW w:type="dxa" w:w="1234"/>
          </w:tcPr>
          <w:p>
            <w:r>
              <w:rPr>
                <w:rFonts w:ascii="Calibri" w:hAnsi="Calibri"/>
                <w:sz w:val="22"/>
              </w:rPr>
              <w:t>+9.5%</w:t>
            </w:r>
          </w:p>
        </w:tc>
        <w:tc>
          <w:tcPr>
            <w:tcW w:type="dxa" w:w="1234"/>
          </w:tcPr>
          <w:p>
            <w:r>
              <w:rPr>
                <w:rFonts w:ascii="Calibri" w:hAnsi="Calibri"/>
                <w:sz w:val="22"/>
              </w:rPr>
              <w:t>$18.5B–$19.25B</w:t>
            </w:r>
          </w:p>
        </w:tc>
        <w:tc>
          <w:tcPr>
            <w:tcW w:type="dxa" w:w="1234"/>
          </w:tcPr>
          <w:p>
            <w:r>
              <w:rPr>
                <w:rFonts w:ascii="Calibri" w:hAnsi="Calibri"/>
                <w:sz w:val="22"/>
              </w:rPr>
              <w:t>~+1.3% vs. mid</w:t>
            </w:r>
          </w:p>
        </w:tc>
      </w:tr>
      <w:tr>
        <w:tc>
          <w:tcPr>
            <w:tcW w:type="dxa" w:w="1234"/>
          </w:tcPr>
          <w:p>
            <w:r>
              <w:rPr>
                <w:rFonts w:ascii="Calibri" w:hAnsi="Calibri"/>
                <w:sz w:val="22"/>
              </w:rPr>
              <w:t>Adj. EPS (Diluted, Operating)</w:t>
            </w:r>
          </w:p>
        </w:tc>
        <w:tc>
          <w:tcPr>
            <w:tcW w:type="dxa" w:w="1234"/>
          </w:tcPr>
          <w:p>
            <w:r>
              <w:rPr>
                <w:rFonts w:ascii="Calibri" w:hAnsi="Calibri"/>
                <w:sz w:val="22"/>
              </w:rPr>
              <w:t>$6.84</w:t>
            </w:r>
          </w:p>
        </w:tc>
        <w:tc>
          <w:tcPr>
            <w:tcW w:type="dxa" w:w="1234"/>
          </w:tcPr>
          <w:p>
            <w:r>
              <w:rPr>
                <w:rFonts w:ascii="Calibri" w:hAnsi="Calibri"/>
                <w:sz w:val="22"/>
              </w:rPr>
              <w:t>$6.72</w:t>
            </w:r>
          </w:p>
        </w:tc>
        <w:tc>
          <w:tcPr>
            <w:tcW w:type="dxa" w:w="1234"/>
          </w:tcPr>
          <w:p>
            <w:r>
              <w:rPr>
                <w:rFonts w:ascii="Calibri" w:hAnsi="Calibri"/>
                <w:sz w:val="22"/>
              </w:rPr>
              <w:t>$7.27</w:t>
            </w:r>
          </w:p>
        </w:tc>
        <w:tc>
          <w:tcPr>
            <w:tcW w:type="dxa" w:w="1234"/>
          </w:tcPr>
          <w:p>
            <w:r>
              <w:rPr>
                <w:rFonts w:ascii="Calibri" w:hAnsi="Calibri"/>
                <w:sz w:val="22"/>
              </w:rPr>
              <w:t>+8.2%</w:t>
            </w:r>
          </w:p>
        </w:tc>
        <w:tc>
          <w:tcPr>
            <w:tcW w:type="dxa" w:w="1234"/>
          </w:tcPr>
          <w:p>
            <w:r>
              <w:rPr>
                <w:rFonts w:ascii="Calibri" w:hAnsi="Calibri"/>
                <w:sz w:val="22"/>
              </w:rPr>
              <w:t>$28.25–$29.75</w:t>
            </w:r>
          </w:p>
        </w:tc>
        <w:tc>
          <w:tcPr>
            <w:tcW w:type="dxa" w:w="1234"/>
          </w:tcPr>
          <w:p>
            <w:r>
              <w:rPr>
                <w:rFonts w:ascii="Calibri" w:hAnsi="Calibri"/>
                <w:sz w:val="22"/>
              </w:rPr>
              <w:t>~+0.3% vs. mid</w:t>
            </w:r>
          </w:p>
        </w:tc>
      </w:tr>
      <w:tr>
        <w:tc>
          <w:tcPr>
            <w:tcW w:type="dxa" w:w="1234"/>
          </w:tcPr>
          <w:p>
            <w:r>
              <w:rPr>
                <w:rFonts w:ascii="Calibri" w:hAnsi="Calibri"/>
                <w:sz w:val="22"/>
              </w:rPr>
              <w:t>Operating Income (Adj., $M)</w:t>
            </w:r>
          </w:p>
        </w:tc>
        <w:tc>
          <w:tcPr>
            <w:tcW w:type="dxa" w:w="1234"/>
          </w:tcPr>
          <w:p>
            <w:r>
              <w:rPr>
                <w:rFonts w:ascii="Calibri" w:hAnsi="Calibri"/>
                <w:sz w:val="22"/>
              </w:rPr>
              <w:t>$403.8M</w:t>
            </w:r>
          </w:p>
        </w:tc>
        <w:tc>
          <w:tcPr>
            <w:tcW w:type="dxa" w:w="1234"/>
          </w:tcPr>
          <w:p>
            <w:r>
              <w:rPr>
                <w:rFonts w:ascii="Calibri" w:hAnsi="Calibri"/>
                <w:sz w:val="22"/>
              </w:rPr>
              <w:t>$415.2M</w:t>
            </w:r>
          </w:p>
        </w:tc>
        <w:tc>
          <w:tcPr>
            <w:tcW w:type="dxa" w:w="1234"/>
          </w:tcPr>
          <w:p>
            <w:r>
              <w:rPr>
                <w:rFonts w:ascii="Calibri" w:hAnsi="Calibri"/>
                <w:sz w:val="22"/>
              </w:rPr>
              <w:t>$437.2M</w:t>
            </w:r>
          </w:p>
        </w:tc>
        <w:tc>
          <w:tcPr>
            <w:tcW w:type="dxa" w:w="1234"/>
          </w:tcPr>
          <w:p>
            <w:r>
              <w:rPr>
                <w:rFonts w:ascii="Calibri" w:hAnsi="Calibri"/>
                <w:sz w:val="22"/>
              </w:rPr>
              <w:t>+5.3%</w:t>
            </w:r>
          </w:p>
        </w:tc>
        <w:tc>
          <w:tcPr>
            <w:tcW w:type="dxa" w:w="1234"/>
          </w:tcPr>
          <w:p>
            <w:r>
              <w:rPr>
                <w:rFonts w:ascii="Calibri" w:hAnsi="Calibri"/>
                <w:sz w:val="22"/>
              </w:rPr>
              <w:t>N/A (FY only)</w:t>
            </w:r>
          </w:p>
        </w:tc>
        <w:tc>
          <w:tcPr>
            <w:tcW w:type="dxa" w:w="1234"/>
          </w:tcPr>
          <w:p>
            <w:r>
              <w:rPr>
                <w:rFonts w:ascii="Calibri" w:hAnsi="Calibri"/>
                <w:sz w:val="22"/>
              </w:rPr>
              <w:t>N/A</w:t>
            </w:r>
          </w:p>
        </w:tc>
      </w:tr>
      <w:tr>
        <w:tc>
          <w:tcPr>
            <w:tcW w:type="dxa" w:w="1234"/>
          </w:tcPr>
          <w:p>
            <w:r>
              <w:rPr>
                <w:rFonts w:ascii="Calibri" w:hAnsi="Calibri"/>
                <w:sz w:val="22"/>
              </w:rPr>
              <w:t>Total Operating Margin (Adj., %)</w:t>
            </w:r>
          </w:p>
        </w:tc>
        <w:tc>
          <w:tcPr>
            <w:tcW w:type="dxa" w:w="1234"/>
          </w:tcPr>
          <w:p>
            <w:r>
              <w:rPr>
                <w:rFonts w:ascii="Calibri" w:hAnsi="Calibri"/>
                <w:sz w:val="22"/>
              </w:rPr>
              <w:t>8.73%</w:t>
            </w:r>
          </w:p>
        </w:tc>
        <w:tc>
          <w:tcPr>
            <w:tcW w:type="dxa" w:w="1234"/>
          </w:tcPr>
          <w:p>
            <w:r>
              <w:rPr>
                <w:rFonts w:ascii="Calibri" w:hAnsi="Calibri"/>
                <w:sz w:val="22"/>
              </w:rPr>
              <w:t>9.65%</w:t>
            </w:r>
          </w:p>
        </w:tc>
        <w:tc>
          <w:tcPr>
            <w:tcW w:type="dxa" w:w="1234"/>
          </w:tcPr>
          <w:p>
            <w:r>
              <w:rPr>
                <w:rFonts w:ascii="Calibri" w:hAnsi="Calibri"/>
                <w:sz w:val="22"/>
              </w:rPr>
              <w:t>9.29%</w:t>
            </w:r>
          </w:p>
        </w:tc>
        <w:tc>
          <w:tcPr>
            <w:tcW w:type="dxa" w:w="1234"/>
          </w:tcPr>
          <w:p>
            <w:r>
              <w:rPr>
                <w:rFonts w:ascii="Calibri" w:hAnsi="Calibri"/>
                <w:sz w:val="22"/>
              </w:rPr>
              <w:t>-36 bps YoY</w:t>
            </w:r>
          </w:p>
        </w:tc>
        <w:tc>
          <w:tcPr>
            <w:tcW w:type="dxa" w:w="1234"/>
          </w:tcPr>
          <w:p>
            <w:r>
              <w:rPr>
                <w:rFonts w:ascii="Calibri" w:hAnsi="Calibri"/>
                <w:sz w:val="22"/>
              </w:rPr>
              <w:t>~9.4% (mgmt target)</w:t>
            </w:r>
          </w:p>
        </w:tc>
        <w:tc>
          <w:tcPr>
            <w:tcW w:type="dxa" w:w="1234"/>
          </w:tcPr>
          <w:p>
            <w:r>
              <w:rPr>
                <w:rFonts w:ascii="Calibri" w:hAnsi="Calibri"/>
                <w:sz w:val="22"/>
              </w:rPr>
              <w:t>~-11 bps vs. target</w:t>
            </w:r>
          </w:p>
        </w:tc>
      </w:tr>
      <w:tr>
        <w:tc>
          <w:tcPr>
            <w:tcW w:type="dxa" w:w="1234"/>
          </w:tcPr>
          <w:p>
            <w:r>
              <w:rPr>
                <w:rFonts w:ascii="Calibri" w:hAnsi="Calibri"/>
                <w:sz w:val="22"/>
              </w:rPr>
              <w:t>US Electrical Construction Revenue ($B)</w:t>
            </w:r>
          </w:p>
        </w:tc>
        <w:tc>
          <w:tcPr>
            <w:tcW w:type="dxa" w:w="1234"/>
          </w:tcPr>
          <w:p>
            <w:r>
              <w:rPr>
                <w:rFonts w:ascii="Calibri" w:hAnsi="Calibri"/>
                <w:sz w:val="22"/>
              </w:rPr>
              <w:t>$1.447B</w:t>
            </w:r>
          </w:p>
        </w:tc>
        <w:tc>
          <w:tcPr>
            <w:tcW w:type="dxa" w:w="1234"/>
          </w:tcPr>
          <w:p>
            <w:r>
              <w:rPr>
                <w:rFonts w:ascii="Calibri" w:hAnsi="Calibri"/>
                <w:sz w:val="22"/>
              </w:rPr>
              <w:t>$1.340B</w:t>
            </w:r>
          </w:p>
        </w:tc>
        <w:tc>
          <w:tcPr>
            <w:tcW w:type="dxa" w:w="1234"/>
          </w:tcPr>
          <w:p>
            <w:r>
              <w:rPr>
                <w:rFonts w:ascii="Calibri" w:hAnsi="Calibri"/>
                <w:sz w:val="22"/>
              </w:rPr>
              <w:t>$1.502B</w:t>
            </w:r>
          </w:p>
        </w:tc>
        <w:tc>
          <w:tcPr>
            <w:tcW w:type="dxa" w:w="1234"/>
          </w:tcPr>
          <w:p>
            <w:r>
              <w:rPr>
                <w:rFonts w:ascii="Calibri" w:hAnsi="Calibri"/>
                <w:sz w:val="22"/>
              </w:rPr>
              <w:t>+12.1%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Electrical Construction Margin (%)</w:t>
            </w:r>
          </w:p>
        </w:tc>
        <w:tc>
          <w:tcPr>
            <w:tcW w:type="dxa" w:w="1234"/>
          </w:tcPr>
          <w:p>
            <w:r>
              <w:rPr>
                <w:rFonts w:ascii="Calibri" w:hAnsi="Calibri"/>
                <w:sz w:val="22"/>
              </w:rPr>
              <w:t>12.05%</w:t>
            </w:r>
          </w:p>
        </w:tc>
        <w:tc>
          <w:tcPr>
            <w:tcW w:type="dxa" w:w="1234"/>
          </w:tcPr>
          <w:p>
            <w:r>
              <w:rPr>
                <w:rFonts w:ascii="Calibri" w:hAnsi="Calibri"/>
                <w:sz w:val="22"/>
              </w:rPr>
              <w:t>11.76%</w:t>
            </w:r>
          </w:p>
        </w:tc>
        <w:tc>
          <w:tcPr>
            <w:tcW w:type="dxa" w:w="1234"/>
          </w:tcPr>
          <w:p>
            <w:r>
              <w:rPr>
                <w:rFonts w:ascii="Calibri" w:hAnsi="Calibri"/>
                <w:sz w:val="22"/>
              </w:rPr>
              <w:t>11.80%</w:t>
            </w:r>
          </w:p>
        </w:tc>
        <w:tc>
          <w:tcPr>
            <w:tcW w:type="dxa" w:w="1234"/>
          </w:tcPr>
          <w:p>
            <w:r>
              <w:rPr>
                <w:rFonts w:ascii="Calibri" w:hAnsi="Calibri"/>
                <w:sz w:val="22"/>
              </w:rPr>
              <w:t>+4 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Mechanical Construction Revenue ($B)</w:t>
            </w:r>
          </w:p>
        </w:tc>
        <w:tc>
          <w:tcPr>
            <w:tcW w:type="dxa" w:w="1234"/>
          </w:tcPr>
          <w:p>
            <w:r>
              <w:rPr>
                <w:rFonts w:ascii="Calibri" w:hAnsi="Calibri"/>
                <w:sz w:val="22"/>
              </w:rPr>
              <w:t>$2.026B</w:t>
            </w:r>
          </w:p>
        </w:tc>
        <w:tc>
          <w:tcPr>
            <w:tcW w:type="dxa" w:w="1234"/>
          </w:tcPr>
          <w:p>
            <w:r>
              <w:rPr>
                <w:rFonts w:ascii="Calibri" w:hAnsi="Calibri"/>
                <w:sz w:val="22"/>
              </w:rPr>
              <w:t>$1.755B</w:t>
            </w:r>
          </w:p>
        </w:tc>
        <w:tc>
          <w:tcPr>
            <w:tcW w:type="dxa" w:w="1234"/>
          </w:tcPr>
          <w:p>
            <w:r>
              <w:rPr>
                <w:rFonts w:ascii="Calibri" w:hAnsi="Calibri"/>
                <w:sz w:val="22"/>
              </w:rPr>
              <w:t>$2.099B</w:t>
            </w:r>
          </w:p>
        </w:tc>
        <w:tc>
          <w:tcPr>
            <w:tcW w:type="dxa" w:w="1234"/>
          </w:tcPr>
          <w:p>
            <w:r>
              <w:rPr>
                <w:rFonts w:ascii="Calibri" w:hAnsi="Calibri"/>
                <w:sz w:val="22"/>
              </w:rPr>
              <w:t>+19.6%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Mechanical Construction Margin (%)</w:t>
            </w:r>
          </w:p>
        </w:tc>
        <w:tc>
          <w:tcPr>
            <w:tcW w:type="dxa" w:w="1234"/>
          </w:tcPr>
          <w:p>
            <w:r>
              <w:rPr>
                <w:rFonts w:ascii="Calibri" w:hAnsi="Calibri"/>
                <w:sz w:val="22"/>
              </w:rPr>
              <w:t>10.94%</w:t>
            </w:r>
          </w:p>
        </w:tc>
        <w:tc>
          <w:tcPr>
            <w:tcW w:type="dxa" w:w="1234"/>
          </w:tcPr>
          <w:p>
            <w:r>
              <w:rPr>
                <w:rFonts w:ascii="Calibri" w:hAnsi="Calibri"/>
                <w:sz w:val="22"/>
              </w:rPr>
              <w:t>13.60%</w:t>
            </w:r>
          </w:p>
        </w:tc>
        <w:tc>
          <w:tcPr>
            <w:tcW w:type="dxa" w:w="1234"/>
          </w:tcPr>
          <w:p>
            <w:r>
              <w:rPr>
                <w:rFonts w:ascii="Calibri" w:hAnsi="Calibri"/>
                <w:sz w:val="22"/>
              </w:rPr>
              <w:t>12.11%</w:t>
            </w:r>
          </w:p>
        </w:tc>
        <w:tc>
          <w:tcPr>
            <w:tcW w:type="dxa" w:w="1234"/>
          </w:tcPr>
          <w:p>
            <w:r>
              <w:rPr>
                <w:rFonts w:ascii="Calibri" w:hAnsi="Calibri"/>
                <w:sz w:val="22"/>
              </w:rPr>
              <w:t>-149 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Building Services Revenue ($B)</w:t>
            </w:r>
          </w:p>
        </w:tc>
        <w:tc>
          <w:tcPr>
            <w:tcW w:type="dxa" w:w="1234"/>
          </w:tcPr>
          <w:p>
            <w:r>
              <w:rPr>
                <w:rFonts w:ascii="Calibri" w:hAnsi="Calibri"/>
                <w:sz w:val="22"/>
              </w:rPr>
              <w:t>$0.773B</w:t>
            </w:r>
          </w:p>
        </w:tc>
        <w:tc>
          <w:tcPr>
            <w:tcW w:type="dxa" w:w="1234"/>
          </w:tcPr>
          <w:p>
            <w:r>
              <w:rPr>
                <w:rFonts w:ascii="Calibri" w:hAnsi="Calibri"/>
                <w:sz w:val="22"/>
              </w:rPr>
              <w:t>$0.793B</w:t>
            </w:r>
          </w:p>
        </w:tc>
        <w:tc>
          <w:tcPr>
            <w:tcW w:type="dxa" w:w="1234"/>
          </w:tcPr>
          <w:p>
            <w:r>
              <w:rPr>
                <w:rFonts w:ascii="Calibri" w:hAnsi="Calibri"/>
                <w:sz w:val="22"/>
              </w:rPr>
              <w:t>$0.815B</w:t>
            </w:r>
          </w:p>
        </w:tc>
        <w:tc>
          <w:tcPr>
            <w:tcW w:type="dxa" w:w="1234"/>
          </w:tcPr>
          <w:p>
            <w:r>
              <w:rPr>
                <w:rFonts w:ascii="Calibri" w:hAnsi="Calibri"/>
                <w:sz w:val="22"/>
              </w:rPr>
              <w:t>+2.8%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Building Services Margin (%)</w:t>
            </w:r>
          </w:p>
        </w:tc>
        <w:tc>
          <w:tcPr>
            <w:tcW w:type="dxa" w:w="1234"/>
          </w:tcPr>
          <w:p>
            <w:r>
              <w:rPr>
                <w:rFonts w:ascii="Calibri" w:hAnsi="Calibri"/>
                <w:sz w:val="22"/>
              </w:rPr>
              <w:t>5.24%</w:t>
            </w:r>
          </w:p>
        </w:tc>
        <w:tc>
          <w:tcPr>
            <w:tcW w:type="dxa" w:w="1234"/>
          </w:tcPr>
          <w:p>
            <w:r>
              <w:rPr>
                <w:rFonts w:ascii="Calibri" w:hAnsi="Calibri"/>
                <w:sz w:val="22"/>
              </w:rPr>
              <w:t>6.31%</w:t>
            </w:r>
          </w:p>
        </w:tc>
        <w:tc>
          <w:tcPr>
            <w:tcW w:type="dxa" w:w="1234"/>
          </w:tcPr>
          <w:p>
            <w:r>
              <w:rPr>
                <w:rFonts w:ascii="Calibri" w:hAnsi="Calibri"/>
                <w:sz w:val="22"/>
              </w:rPr>
              <w:t>6.25%</w:t>
            </w:r>
          </w:p>
        </w:tc>
        <w:tc>
          <w:tcPr>
            <w:tcW w:type="dxa" w:w="1234"/>
          </w:tcPr>
          <w:p>
            <w:r>
              <w:rPr>
                <w:rFonts w:ascii="Calibri" w:hAnsi="Calibri"/>
                <w:sz w:val="22"/>
              </w:rPr>
              <w:t>-6 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Industrial Services Revenue ($B)</w:t>
            </w:r>
          </w:p>
        </w:tc>
        <w:tc>
          <w:tcPr>
            <w:tcW w:type="dxa" w:w="1234"/>
          </w:tcPr>
          <w:p>
            <w:r>
              <w:rPr>
                <w:rFonts w:ascii="Calibri" w:hAnsi="Calibri"/>
                <w:sz w:val="22"/>
              </w:rPr>
              <w:t>$0.382B</w:t>
            </w:r>
          </w:p>
        </w:tc>
        <w:tc>
          <w:tcPr>
            <w:tcW w:type="dxa" w:w="1234"/>
          </w:tcPr>
          <w:p>
            <w:r>
              <w:rPr>
                <w:rFonts w:ascii="Calibri" w:hAnsi="Calibri"/>
                <w:sz w:val="22"/>
              </w:rPr>
              <w:t>$0.281B</w:t>
            </w:r>
          </w:p>
        </w:tc>
        <w:tc>
          <w:tcPr>
            <w:tcW w:type="dxa" w:w="1234"/>
          </w:tcPr>
          <w:p>
            <w:r>
              <w:rPr>
                <w:rFonts w:ascii="Calibri" w:hAnsi="Calibri"/>
                <w:sz w:val="22"/>
              </w:rPr>
              <w:t>$0.298B</w:t>
            </w:r>
          </w:p>
        </w:tc>
        <w:tc>
          <w:tcPr>
            <w:tcW w:type="dxa" w:w="1234"/>
          </w:tcPr>
          <w:p>
            <w:r>
              <w:rPr>
                <w:rFonts w:ascii="Calibri" w:hAnsi="Calibri"/>
                <w:sz w:val="22"/>
              </w:rPr>
              <w:t>+6.0%</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FY 2026 guidance from Q1 2026 earnings call (April 29, 2026). Consensus vs. guidance midpoint calculated using $18.875B revenue mid and $29.00 EPS mid.</w:t>
      </w:r>
    </w:p>
    <w:p>
      <w:pPr>
        <w:pStyle w:val="Heading3"/>
      </w:pPr>
      <w:r>
        <w:rPr>
          <w:rFonts w:ascii="Calibri" w:hAnsi="Calibri"/>
          <w:b/>
          <w:color w:val="3B4259"/>
          <w:sz w:val="24"/>
        </w:rPr>
        <w:t>Table 2 — Beat/Miss History (Last 8 Quarters, Top 2 KPIs)</w:t>
      </w:r>
    </w:p>
    <w:p>
      <w:r>
        <w:rPr>
          <w:rFonts w:ascii="Calibri" w:hAnsi="Calibri"/>
          <w:b/>
          <w:color w:val="525866"/>
          <w:sz w:val="22"/>
        </w:rPr>
        <w:t>KPI 1: Revenue | KPI 2: Adj. EPS (Diluted, Operating)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Revenue Reported</w:t>
            </w:r>
          </w:p>
        </w:tc>
        <w:tc>
          <w:tcPr>
            <w:tcW w:type="dxa" w:w="1234"/>
            <w:shd w:val="clear" w:color="auto" w:fill="3B4259"/>
          </w:tcPr>
          <w:p>
            <w:r>
              <w:rPr>
                <w:rFonts w:ascii="Calibri" w:hAnsi="Calibri"/>
                <w:b/>
                <w:color w:val="FFFFFF"/>
                <w:sz w:val="22"/>
              </w:rPr>
              <w:t>Revenue Consensus</w:t>
            </w:r>
          </w:p>
        </w:tc>
        <w:tc>
          <w:tcPr>
            <w:tcW w:type="dxa" w:w="1234"/>
            <w:shd w:val="clear" w:color="auto" w:fill="3B4259"/>
          </w:tcPr>
          <w:p>
            <w:r>
              <w:rPr>
                <w:rFonts w:ascii="Calibri" w:hAnsi="Calibri"/>
                <w:b/>
                <w:color w:val="FFFFFF"/>
                <w:sz w:val="22"/>
              </w:rPr>
              <w:t>Rev. Surprise %</w:t>
            </w:r>
          </w:p>
        </w:tc>
        <w:tc>
          <w:tcPr>
            <w:tcW w:type="dxa" w:w="1234"/>
            <w:shd w:val="clear" w:color="auto" w:fill="3B4259"/>
          </w:tcPr>
          <w:p>
            <w:r>
              <w:rPr>
                <w:rFonts w:ascii="Calibri" w:hAnsi="Calibri"/>
                <w:b/>
                <w:color w:val="FFFFFF"/>
                <w:sz w:val="22"/>
              </w:rPr>
              <w:t>EPS Reported</w:t>
            </w:r>
          </w:p>
        </w:tc>
        <w:tc>
          <w:tcPr>
            <w:tcW w:type="dxa" w:w="1234"/>
            <w:shd w:val="clear" w:color="auto" w:fill="3B4259"/>
          </w:tcPr>
          <w:p>
            <w:r>
              <w:rPr>
                <w:rFonts w:ascii="Calibri" w:hAnsi="Calibri"/>
                <w:b/>
                <w:color w:val="FFFFFF"/>
                <w:sz w:val="22"/>
              </w:rPr>
              <w:t>EPS Consensus</w:t>
            </w:r>
          </w:p>
        </w:tc>
        <w:tc>
          <w:tcPr>
            <w:tcW w:type="dxa" w:w="1234"/>
            <w:shd w:val="clear" w:color="auto" w:fill="3B4259"/>
          </w:tcPr>
          <w:p>
            <w:r>
              <w:rPr>
                <w:rFonts w:ascii="Calibri" w:hAnsi="Calibri"/>
                <w:b/>
                <w:color w:val="FFFFFF"/>
                <w:sz w:val="22"/>
              </w:rPr>
              <w:t>EPS Surprise %</w:t>
            </w:r>
          </w:p>
        </w:tc>
      </w:tr>
      <w:tr>
        <w:tc>
          <w:tcPr>
            <w:tcW w:type="dxa" w:w="1234"/>
          </w:tcPr>
          <w:p>
            <w:r>
              <w:rPr>
                <w:rFonts w:ascii="Calibri" w:hAnsi="Calibri"/>
                <w:sz w:val="22"/>
              </w:rPr>
              <w:t>Q2 2024</w:t>
            </w:r>
          </w:p>
        </w:tc>
        <w:tc>
          <w:tcPr>
            <w:tcW w:type="dxa" w:w="1234"/>
          </w:tcPr>
          <w:p>
            <w:r>
              <w:rPr>
                <w:rFonts w:ascii="Calibri" w:hAnsi="Calibri"/>
                <w:sz w:val="22"/>
              </w:rPr>
              <w:t>$3.667B</w:t>
            </w:r>
          </w:p>
        </w:tc>
        <w:tc>
          <w:tcPr>
            <w:tcW w:type="dxa" w:w="1234"/>
          </w:tcPr>
          <w:p>
            <w:r>
              <w:rPr>
                <w:rFonts w:ascii="Calibri" w:hAnsi="Calibri"/>
                <w:sz w:val="22"/>
              </w:rPr>
              <w:t>$3.522B</w:t>
            </w:r>
          </w:p>
        </w:tc>
        <w:tc>
          <w:tcPr>
            <w:tcW w:type="dxa" w:w="1234"/>
          </w:tcPr>
          <w:p>
            <w:r>
              <w:rPr>
                <w:rFonts w:ascii="Calibri" w:hAnsi="Calibri"/>
                <w:b/>
                <w:color w:val="30A46C"/>
                <w:sz w:val="22"/>
              </w:rPr>
              <w:t>+4.1%</w:t>
            </w:r>
          </w:p>
        </w:tc>
        <w:tc>
          <w:tcPr>
            <w:tcW w:type="dxa" w:w="1234"/>
          </w:tcPr>
          <w:p>
            <w:r>
              <w:rPr>
                <w:rFonts w:ascii="Calibri" w:hAnsi="Calibri"/>
                <w:sz w:val="22"/>
              </w:rPr>
              <w:t>$5.25</w:t>
            </w:r>
          </w:p>
        </w:tc>
        <w:tc>
          <w:tcPr>
            <w:tcW w:type="dxa" w:w="1234"/>
          </w:tcPr>
          <w:p>
            <w:r>
              <w:rPr>
                <w:rFonts w:ascii="Calibri" w:hAnsi="Calibri"/>
                <w:sz w:val="22"/>
              </w:rPr>
              <w:t>$3.76</w:t>
            </w:r>
          </w:p>
        </w:tc>
        <w:tc>
          <w:tcPr>
            <w:tcW w:type="dxa" w:w="1234"/>
          </w:tcPr>
          <w:p>
            <w:r>
              <w:rPr>
                <w:rFonts w:ascii="Calibri" w:hAnsi="Calibri"/>
                <w:b/>
                <w:color w:val="30A46C"/>
                <w:sz w:val="22"/>
              </w:rPr>
              <w:t>+39.6%</w:t>
            </w:r>
          </w:p>
        </w:tc>
      </w:tr>
      <w:tr>
        <w:tc>
          <w:tcPr>
            <w:tcW w:type="dxa" w:w="1234"/>
          </w:tcPr>
          <w:p>
            <w:r>
              <w:rPr>
                <w:rFonts w:ascii="Calibri" w:hAnsi="Calibri"/>
                <w:sz w:val="22"/>
              </w:rPr>
              <w:t>Q3 2024</w:t>
            </w:r>
          </w:p>
        </w:tc>
        <w:tc>
          <w:tcPr>
            <w:tcW w:type="dxa" w:w="1234"/>
          </w:tcPr>
          <w:p>
            <w:r>
              <w:rPr>
                <w:rFonts w:ascii="Calibri" w:hAnsi="Calibri"/>
                <w:sz w:val="22"/>
              </w:rPr>
              <w:t>$3.697B</w:t>
            </w:r>
          </w:p>
        </w:tc>
        <w:tc>
          <w:tcPr>
            <w:tcW w:type="dxa" w:w="1234"/>
          </w:tcPr>
          <w:p>
            <w:r>
              <w:rPr>
                <w:rFonts w:ascii="Calibri" w:hAnsi="Calibri"/>
                <w:sz w:val="22"/>
              </w:rPr>
              <w:t>$3.771B</w:t>
            </w:r>
          </w:p>
        </w:tc>
        <w:tc>
          <w:tcPr>
            <w:tcW w:type="dxa" w:w="1234"/>
          </w:tcPr>
          <w:p>
            <w:r>
              <w:rPr>
                <w:rFonts w:ascii="Calibri" w:hAnsi="Calibri"/>
                <w:b/>
                <w:color w:val="E5484D"/>
                <w:sz w:val="22"/>
              </w:rPr>
              <w:t>-2.0%</w:t>
            </w:r>
          </w:p>
        </w:tc>
        <w:tc>
          <w:tcPr>
            <w:tcW w:type="dxa" w:w="1234"/>
          </w:tcPr>
          <w:p>
            <w:r>
              <w:rPr>
                <w:rFonts w:ascii="Calibri" w:hAnsi="Calibri"/>
                <w:sz w:val="22"/>
              </w:rPr>
              <w:t>$5.80</w:t>
            </w:r>
          </w:p>
        </w:tc>
        <w:tc>
          <w:tcPr>
            <w:tcW w:type="dxa" w:w="1234"/>
          </w:tcPr>
          <w:p>
            <w:r>
              <w:rPr>
                <w:rFonts w:ascii="Calibri" w:hAnsi="Calibri"/>
                <w:sz w:val="22"/>
              </w:rPr>
              <w:t>$4.98</w:t>
            </w:r>
          </w:p>
        </w:tc>
        <w:tc>
          <w:tcPr>
            <w:tcW w:type="dxa" w:w="1234"/>
          </w:tcPr>
          <w:p>
            <w:r>
              <w:rPr>
                <w:rFonts w:ascii="Calibri" w:hAnsi="Calibri"/>
                <w:b/>
                <w:color w:val="30A46C"/>
                <w:sz w:val="22"/>
              </w:rPr>
              <w:t>+16.5%</w:t>
            </w:r>
          </w:p>
        </w:tc>
      </w:tr>
      <w:tr>
        <w:tc>
          <w:tcPr>
            <w:tcW w:type="dxa" w:w="1234"/>
          </w:tcPr>
          <w:p>
            <w:r>
              <w:rPr>
                <w:rFonts w:ascii="Calibri" w:hAnsi="Calibri"/>
                <w:sz w:val="22"/>
              </w:rPr>
              <w:t>Q4 2024</w:t>
            </w:r>
          </w:p>
        </w:tc>
        <w:tc>
          <w:tcPr>
            <w:tcW w:type="dxa" w:w="1234"/>
          </w:tcPr>
          <w:p>
            <w:r>
              <w:rPr>
                <w:rFonts w:ascii="Calibri" w:hAnsi="Calibri"/>
                <w:sz w:val="22"/>
              </w:rPr>
              <w:t>$3.770B</w:t>
            </w:r>
          </w:p>
        </w:tc>
        <w:tc>
          <w:tcPr>
            <w:tcW w:type="dxa" w:w="1234"/>
          </w:tcPr>
          <w:p>
            <w:r>
              <w:rPr>
                <w:rFonts w:ascii="Calibri" w:hAnsi="Calibri"/>
                <w:sz w:val="22"/>
              </w:rPr>
              <w:t>$3.807B</w:t>
            </w:r>
          </w:p>
        </w:tc>
        <w:tc>
          <w:tcPr>
            <w:tcW w:type="dxa" w:w="1234"/>
          </w:tcPr>
          <w:p>
            <w:r>
              <w:rPr>
                <w:rFonts w:ascii="Calibri" w:hAnsi="Calibri"/>
                <w:b/>
                <w:color w:val="E5484D"/>
                <w:sz w:val="22"/>
              </w:rPr>
              <w:t>-1.0%</w:t>
            </w:r>
          </w:p>
        </w:tc>
        <w:tc>
          <w:tcPr>
            <w:tcW w:type="dxa" w:w="1234"/>
          </w:tcPr>
          <w:p>
            <w:r>
              <w:rPr>
                <w:rFonts w:ascii="Calibri" w:hAnsi="Calibri"/>
                <w:sz w:val="22"/>
              </w:rPr>
              <w:t>$6.32</w:t>
            </w:r>
          </w:p>
        </w:tc>
        <w:tc>
          <w:tcPr>
            <w:tcW w:type="dxa" w:w="1234"/>
          </w:tcPr>
          <w:p>
            <w:r>
              <w:rPr>
                <w:rFonts w:ascii="Calibri" w:hAnsi="Calibri"/>
                <w:sz w:val="22"/>
              </w:rPr>
              <w:t>$5.76</w:t>
            </w:r>
          </w:p>
        </w:tc>
        <w:tc>
          <w:tcPr>
            <w:tcW w:type="dxa" w:w="1234"/>
          </w:tcPr>
          <w:p>
            <w:r>
              <w:rPr>
                <w:rFonts w:ascii="Calibri" w:hAnsi="Calibri"/>
                <w:b/>
                <w:color w:val="30A46C"/>
                <w:sz w:val="22"/>
              </w:rPr>
              <w:t>+9.7%</w:t>
            </w:r>
          </w:p>
        </w:tc>
      </w:tr>
      <w:tr>
        <w:tc>
          <w:tcPr>
            <w:tcW w:type="dxa" w:w="1234"/>
          </w:tcPr>
          <w:p>
            <w:r>
              <w:rPr>
                <w:rFonts w:ascii="Calibri" w:hAnsi="Calibri"/>
                <w:sz w:val="22"/>
              </w:rPr>
              <w:t>Q1 2025</w:t>
            </w:r>
          </w:p>
        </w:tc>
        <w:tc>
          <w:tcPr>
            <w:tcW w:type="dxa" w:w="1234"/>
          </w:tcPr>
          <w:p>
            <w:r>
              <w:rPr>
                <w:rFonts w:ascii="Calibri" w:hAnsi="Calibri"/>
                <w:sz w:val="22"/>
              </w:rPr>
              <w:t>$3.867B</w:t>
            </w:r>
          </w:p>
        </w:tc>
        <w:tc>
          <w:tcPr>
            <w:tcW w:type="dxa" w:w="1234"/>
          </w:tcPr>
          <w:p>
            <w:r>
              <w:rPr>
                <w:rFonts w:ascii="Calibri" w:hAnsi="Calibri"/>
                <w:sz w:val="22"/>
              </w:rPr>
              <w:t>$3.784B</w:t>
            </w:r>
          </w:p>
        </w:tc>
        <w:tc>
          <w:tcPr>
            <w:tcW w:type="dxa" w:w="1234"/>
          </w:tcPr>
          <w:p>
            <w:r>
              <w:rPr>
                <w:rFonts w:ascii="Calibri" w:hAnsi="Calibri"/>
                <w:b/>
                <w:color w:val="30A46C"/>
                <w:sz w:val="22"/>
              </w:rPr>
              <w:t>+2.2%</w:t>
            </w:r>
          </w:p>
        </w:tc>
        <w:tc>
          <w:tcPr>
            <w:tcW w:type="dxa" w:w="1234"/>
          </w:tcPr>
          <w:p>
            <w:r>
              <w:rPr>
                <w:rFonts w:ascii="Calibri" w:hAnsi="Calibri"/>
                <w:sz w:val="22"/>
              </w:rPr>
              <w:t>$5.41</w:t>
            </w:r>
          </w:p>
        </w:tc>
        <w:tc>
          <w:tcPr>
            <w:tcW w:type="dxa" w:w="1234"/>
          </w:tcPr>
          <w:p>
            <w:r>
              <w:rPr>
                <w:rFonts w:ascii="Calibri" w:hAnsi="Calibri"/>
                <w:sz w:val="22"/>
              </w:rPr>
              <w:t>$4.62</w:t>
            </w:r>
          </w:p>
        </w:tc>
        <w:tc>
          <w:tcPr>
            <w:tcW w:type="dxa" w:w="1234"/>
          </w:tcPr>
          <w:p>
            <w:r>
              <w:rPr>
                <w:rFonts w:ascii="Calibri" w:hAnsi="Calibri"/>
                <w:b/>
                <w:color w:val="30A46C"/>
                <w:sz w:val="22"/>
              </w:rPr>
              <w:t>+17.0%</w:t>
            </w:r>
          </w:p>
        </w:tc>
      </w:tr>
      <w:tr>
        <w:tc>
          <w:tcPr>
            <w:tcW w:type="dxa" w:w="1234"/>
          </w:tcPr>
          <w:p>
            <w:r>
              <w:rPr>
                <w:rFonts w:ascii="Calibri" w:hAnsi="Calibri"/>
                <w:sz w:val="22"/>
              </w:rPr>
              <w:t>Q2 2025</w:t>
            </w:r>
          </w:p>
        </w:tc>
        <w:tc>
          <w:tcPr>
            <w:tcW w:type="dxa" w:w="1234"/>
          </w:tcPr>
          <w:p>
            <w:r>
              <w:rPr>
                <w:rFonts w:ascii="Calibri" w:hAnsi="Calibri"/>
                <w:sz w:val="22"/>
              </w:rPr>
              <w:t>$4.304B</w:t>
            </w:r>
          </w:p>
        </w:tc>
        <w:tc>
          <w:tcPr>
            <w:tcW w:type="dxa" w:w="1234"/>
          </w:tcPr>
          <w:p>
            <w:r>
              <w:rPr>
                <w:rFonts w:ascii="Calibri" w:hAnsi="Calibri"/>
                <w:sz w:val="22"/>
              </w:rPr>
              <w:t>$4.103B</w:t>
            </w:r>
          </w:p>
        </w:tc>
        <w:tc>
          <w:tcPr>
            <w:tcW w:type="dxa" w:w="1234"/>
          </w:tcPr>
          <w:p>
            <w:r>
              <w:rPr>
                <w:rFonts w:ascii="Calibri" w:hAnsi="Calibri"/>
                <w:b/>
                <w:color w:val="30A46C"/>
                <w:sz w:val="22"/>
              </w:rPr>
              <w:t>+4.9%</w:t>
            </w:r>
          </w:p>
        </w:tc>
        <w:tc>
          <w:tcPr>
            <w:tcW w:type="dxa" w:w="1234"/>
          </w:tcPr>
          <w:p>
            <w:r>
              <w:rPr>
                <w:rFonts w:ascii="Calibri" w:hAnsi="Calibri"/>
                <w:sz w:val="22"/>
              </w:rPr>
              <w:t>$6.72</w:t>
            </w:r>
          </w:p>
        </w:tc>
        <w:tc>
          <w:tcPr>
            <w:tcW w:type="dxa" w:w="1234"/>
          </w:tcPr>
          <w:p>
            <w:r>
              <w:rPr>
                <w:rFonts w:ascii="Calibri" w:hAnsi="Calibri"/>
                <w:sz w:val="22"/>
              </w:rPr>
              <w:t>$5.74</w:t>
            </w:r>
          </w:p>
        </w:tc>
        <w:tc>
          <w:tcPr>
            <w:tcW w:type="dxa" w:w="1234"/>
          </w:tcPr>
          <w:p>
            <w:r>
              <w:rPr>
                <w:rFonts w:ascii="Calibri" w:hAnsi="Calibri"/>
                <w:b/>
                <w:color w:val="30A46C"/>
                <w:sz w:val="22"/>
              </w:rPr>
              <w:t>+17.1%</w:t>
            </w:r>
          </w:p>
        </w:tc>
      </w:tr>
      <w:tr>
        <w:tc>
          <w:tcPr>
            <w:tcW w:type="dxa" w:w="1234"/>
          </w:tcPr>
          <w:p>
            <w:r>
              <w:rPr>
                <w:rFonts w:ascii="Calibri" w:hAnsi="Calibri"/>
                <w:sz w:val="22"/>
              </w:rPr>
              <w:t>Q3 2025</w:t>
            </w:r>
          </w:p>
        </w:tc>
        <w:tc>
          <w:tcPr>
            <w:tcW w:type="dxa" w:w="1234"/>
          </w:tcPr>
          <w:p>
            <w:r>
              <w:rPr>
                <w:rFonts w:ascii="Calibri" w:hAnsi="Calibri"/>
                <w:sz w:val="22"/>
              </w:rPr>
              <w:t>$4.302B</w:t>
            </w:r>
          </w:p>
        </w:tc>
        <w:tc>
          <w:tcPr>
            <w:tcW w:type="dxa" w:w="1234"/>
          </w:tcPr>
          <w:p>
            <w:r>
              <w:rPr>
                <w:rFonts w:ascii="Calibri" w:hAnsi="Calibri"/>
                <w:sz w:val="22"/>
              </w:rPr>
              <w:t>$4.289B</w:t>
            </w:r>
          </w:p>
        </w:tc>
        <w:tc>
          <w:tcPr>
            <w:tcW w:type="dxa" w:w="1234"/>
          </w:tcPr>
          <w:p>
            <w:r>
              <w:rPr>
                <w:rFonts w:ascii="Calibri" w:hAnsi="Calibri"/>
                <w:b/>
                <w:color w:val="30A46C"/>
                <w:sz w:val="22"/>
              </w:rPr>
              <w:t>+0.3%</w:t>
            </w:r>
          </w:p>
        </w:tc>
        <w:tc>
          <w:tcPr>
            <w:tcW w:type="dxa" w:w="1234"/>
          </w:tcPr>
          <w:p>
            <w:r>
              <w:rPr>
                <w:rFonts w:ascii="Calibri" w:hAnsi="Calibri"/>
                <w:sz w:val="22"/>
              </w:rPr>
              <w:t>$6.57</w:t>
            </w:r>
          </w:p>
        </w:tc>
        <w:tc>
          <w:tcPr>
            <w:tcW w:type="dxa" w:w="1234"/>
          </w:tcPr>
          <w:p>
            <w:r>
              <w:rPr>
                <w:rFonts w:ascii="Calibri" w:hAnsi="Calibri"/>
                <w:sz w:val="22"/>
              </w:rPr>
              <w:t>$6.51</w:t>
            </w:r>
          </w:p>
        </w:tc>
        <w:tc>
          <w:tcPr>
            <w:tcW w:type="dxa" w:w="1234"/>
          </w:tcPr>
          <w:p>
            <w:r>
              <w:rPr>
                <w:rFonts w:ascii="Calibri" w:hAnsi="Calibri"/>
                <w:b/>
                <w:color w:val="30A46C"/>
                <w:sz w:val="22"/>
              </w:rPr>
              <w:t>+0.9%</w:t>
            </w:r>
          </w:p>
        </w:tc>
      </w:tr>
      <w:tr>
        <w:tc>
          <w:tcPr>
            <w:tcW w:type="dxa" w:w="1234"/>
          </w:tcPr>
          <w:p>
            <w:r>
              <w:rPr>
                <w:rFonts w:ascii="Calibri" w:hAnsi="Calibri"/>
                <w:sz w:val="22"/>
              </w:rPr>
              <w:t>Q4 2025</w:t>
            </w:r>
          </w:p>
        </w:tc>
        <w:tc>
          <w:tcPr>
            <w:tcW w:type="dxa" w:w="1234"/>
          </w:tcPr>
          <w:p>
            <w:r>
              <w:rPr>
                <w:rFonts w:ascii="Calibri" w:hAnsi="Calibri"/>
                <w:sz w:val="22"/>
              </w:rPr>
              <w:t>$4.513B</w:t>
            </w:r>
          </w:p>
        </w:tc>
        <w:tc>
          <w:tcPr>
            <w:tcW w:type="dxa" w:w="1234"/>
          </w:tcPr>
          <w:p>
            <w:r>
              <w:rPr>
                <w:rFonts w:ascii="Calibri" w:hAnsi="Calibri"/>
                <w:sz w:val="22"/>
              </w:rPr>
              <w:t>$4.288B</w:t>
            </w:r>
          </w:p>
        </w:tc>
        <w:tc>
          <w:tcPr>
            <w:tcW w:type="dxa" w:w="1234"/>
          </w:tcPr>
          <w:p>
            <w:r>
              <w:rPr>
                <w:rFonts w:ascii="Calibri" w:hAnsi="Calibri"/>
                <w:b/>
                <w:color w:val="30A46C"/>
                <w:sz w:val="22"/>
              </w:rPr>
              <w:t>+5.2%</w:t>
            </w:r>
          </w:p>
        </w:tc>
        <w:tc>
          <w:tcPr>
            <w:tcW w:type="dxa" w:w="1234"/>
          </w:tcPr>
          <w:p>
            <w:r>
              <w:rPr>
                <w:rFonts w:ascii="Calibri" w:hAnsi="Calibri"/>
                <w:sz w:val="22"/>
              </w:rPr>
              <w:t>$7.19</w:t>
            </w:r>
          </w:p>
        </w:tc>
        <w:tc>
          <w:tcPr>
            <w:tcW w:type="dxa" w:w="1234"/>
          </w:tcPr>
          <w:p>
            <w:r>
              <w:rPr>
                <w:rFonts w:ascii="Calibri" w:hAnsi="Calibri"/>
                <w:sz w:val="22"/>
              </w:rPr>
              <w:t>$6.67</w:t>
            </w:r>
          </w:p>
        </w:tc>
        <w:tc>
          <w:tcPr>
            <w:tcW w:type="dxa" w:w="1234"/>
          </w:tcPr>
          <w:p>
            <w:r>
              <w:rPr>
                <w:rFonts w:ascii="Calibri" w:hAnsi="Calibri"/>
                <w:b/>
                <w:color w:val="30A46C"/>
                <w:sz w:val="22"/>
              </w:rPr>
              <w:t>+7.8%</w:t>
            </w:r>
          </w:p>
        </w:tc>
      </w:tr>
      <w:tr>
        <w:tc>
          <w:tcPr>
            <w:tcW w:type="dxa" w:w="1234"/>
          </w:tcPr>
          <w:p>
            <w:r>
              <w:rPr>
                <w:rFonts w:ascii="Calibri" w:hAnsi="Calibri"/>
                <w:sz w:val="22"/>
              </w:rPr>
              <w:t>Q1 2026</w:t>
            </w:r>
          </w:p>
        </w:tc>
        <w:tc>
          <w:tcPr>
            <w:tcW w:type="dxa" w:w="1234"/>
          </w:tcPr>
          <w:p>
            <w:r>
              <w:rPr>
                <w:rFonts w:ascii="Calibri" w:hAnsi="Calibri"/>
                <w:sz w:val="22"/>
              </w:rPr>
              <w:t>$4.628B</w:t>
            </w:r>
          </w:p>
        </w:tc>
        <w:tc>
          <w:tcPr>
            <w:tcW w:type="dxa" w:w="1234"/>
          </w:tcPr>
          <w:p>
            <w:r>
              <w:rPr>
                <w:rFonts w:ascii="Calibri" w:hAnsi="Calibri"/>
                <w:sz w:val="22"/>
              </w:rPr>
              <w:t>$4.197B</w:t>
            </w:r>
          </w:p>
        </w:tc>
        <w:tc>
          <w:tcPr>
            <w:tcW w:type="dxa" w:w="1234"/>
          </w:tcPr>
          <w:p>
            <w:r>
              <w:rPr>
                <w:rFonts w:ascii="Calibri" w:hAnsi="Calibri"/>
                <w:b/>
                <w:color w:val="30A46C"/>
                <w:sz w:val="22"/>
              </w:rPr>
              <w:t>+10.3%</w:t>
            </w:r>
          </w:p>
        </w:tc>
        <w:tc>
          <w:tcPr>
            <w:tcW w:type="dxa" w:w="1234"/>
          </w:tcPr>
          <w:p>
            <w:r>
              <w:rPr>
                <w:rFonts w:ascii="Calibri" w:hAnsi="Calibri"/>
                <w:sz w:val="22"/>
              </w:rPr>
              <w:t>$6.84</w:t>
            </w:r>
          </w:p>
        </w:tc>
        <w:tc>
          <w:tcPr>
            <w:tcW w:type="dxa" w:w="1234"/>
          </w:tcPr>
          <w:p>
            <w:r>
              <w:rPr>
                <w:rFonts w:ascii="Calibri" w:hAnsi="Calibri"/>
                <w:sz w:val="22"/>
              </w:rPr>
              <w:t>$5.91</w:t>
            </w:r>
          </w:p>
        </w:tc>
        <w:tc>
          <w:tcPr>
            <w:tcW w:type="dxa" w:w="1234"/>
          </w:tcPr>
          <w:p>
            <w:r>
              <w:rPr>
                <w:rFonts w:ascii="Calibri" w:hAnsi="Calibri"/>
                <w:b/>
                <w:color w:val="30A46C"/>
                <w:sz w:val="22"/>
              </w:rPr>
              <w:t>+15.7%</w:t>
            </w:r>
          </w:p>
        </w:tc>
      </w:tr>
    </w:tbl>
    <w:p>
      <w:r>
        <w:rPr>
          <w:rFonts w:ascii="Calibri" w:hAnsi="Calibri"/>
          <w:b/>
          <w:color w:val="525866"/>
          <w:sz w:val="22"/>
        </w:rPr>
        <w:t xml:space="preserve">Pattern: </w:t>
      </w:r>
      <w:r>
        <w:rPr>
          <w:rFonts w:ascii="Calibri" w:hAnsi="Calibri"/>
          <w:color w:val="525866"/>
          <w:sz w:val="22"/>
        </w:rPr>
        <w:t>EME has beaten EPS consensus in all 8 of the last 8 quarters, with an average EPS surprise of ~+15.8%. Revenue beats are also consistent (7 of 8 quarters), though the magnitude has moderated from the large beats of 2024 to more modest outperformance in 2025. The Q1 2026 beat was the largest in recent history on both metrics, setting a high bar for Q2.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on the Q1 2026 call and has not been revised since — no post-earnings 8-Ks or conference updates. </w:t>
      </w:r>
      <w:r>
        <w:rPr>
          <w:rFonts w:ascii="Calibri" w:hAnsi="Calibri"/>
          <w:b/>
          <w:color w:val="525866"/>
          <w:sz w:val="22"/>
        </w:rPr>
        <w:t>Management's tone remains highly confident on data center demand and full-year execution</w:t>
      </w:r>
      <w:r>
        <w:rPr>
          <w:rFonts w:ascii="Calibri" w:hAnsi="Calibri"/>
          <w:color w:val="525866"/>
          <w:sz w:val="22"/>
        </w:rPr>
        <w:t>, with the only acknowledged headwind being mechanical segment mix (GMP/cost-plus shift in newer geographies), which management framed as temporary and rational.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$18.5B – $19.25B</w:t>
            </w:r>
          </w:p>
        </w:tc>
        <w:tc>
          <w:tcPr>
            <w:tcW w:type="dxa" w:w="1728"/>
          </w:tcPr>
          <w:p>
            <w:r>
              <w:rPr>
                <w:rFonts w:ascii="Calibri" w:hAnsi="Calibri"/>
                <w:sz w:val="22"/>
              </w:rPr>
              <w:t>—</w:t>
            </w:r>
          </w:p>
        </w:tc>
        <w:tc>
          <w:tcPr>
            <w:tcW w:type="dxa" w:w="1728"/>
          </w:tcPr>
          <w:p>
            <w:r>
              <w:rPr>
                <w:rFonts w:ascii="Calibri" w:hAnsi="Calibri"/>
                <w:sz w:val="22"/>
              </w:rPr>
              <w:t>$18.997B</w:t>
            </w:r>
          </w:p>
        </w:tc>
        <w:tc>
          <w:tcPr>
            <w:tcW w:type="dxa" w:w="1728"/>
          </w:tcPr>
          <w:p>
            <w:r>
              <w:rPr>
                <w:rFonts w:ascii="Calibri" w:hAnsi="Calibri"/>
                <w:sz w:val="22"/>
              </w:rPr>
              <w:t>Raised from prior range at Q1 print; no post-earnings revision. Consensus sits near midpoint.</w:t>
            </w:r>
          </w:p>
        </w:tc>
      </w:tr>
      <w:tr>
        <w:tc>
          <w:tcPr>
            <w:tcW w:type="dxa" w:w="1728"/>
          </w:tcPr>
          <w:p>
            <w:r>
              <w:rPr>
                <w:rFonts w:ascii="Calibri" w:hAnsi="Calibri"/>
                <w:sz w:val="22"/>
              </w:rPr>
              <w:t>FY 2026 Adj. EPS (Diluted)</w:t>
            </w:r>
          </w:p>
        </w:tc>
        <w:tc>
          <w:tcPr>
            <w:tcW w:type="dxa" w:w="1728"/>
          </w:tcPr>
          <w:p>
            <w:r>
              <w:rPr>
                <w:rFonts w:ascii="Calibri" w:hAnsi="Calibri"/>
                <w:sz w:val="22"/>
              </w:rPr>
              <w:t>$28.25 – $29.75</w:t>
            </w:r>
          </w:p>
        </w:tc>
        <w:tc>
          <w:tcPr>
            <w:tcW w:type="dxa" w:w="1728"/>
          </w:tcPr>
          <w:p>
            <w:r>
              <w:rPr>
                <w:rFonts w:ascii="Calibri" w:hAnsi="Calibri"/>
                <w:sz w:val="22"/>
              </w:rPr>
              <w:t>—</w:t>
            </w:r>
          </w:p>
        </w:tc>
        <w:tc>
          <w:tcPr>
            <w:tcW w:type="dxa" w:w="1728"/>
          </w:tcPr>
          <w:p>
            <w:r>
              <w:rPr>
                <w:rFonts w:ascii="Calibri" w:hAnsi="Calibri"/>
                <w:sz w:val="22"/>
              </w:rPr>
              <w:t>$29.41</w:t>
            </w:r>
          </w:p>
        </w:tc>
        <w:tc>
          <w:tcPr>
            <w:tcW w:type="dxa" w:w="1728"/>
          </w:tcPr>
          <w:p>
            <w:r>
              <w:rPr>
                <w:rFonts w:ascii="Calibri" w:hAnsi="Calibri"/>
                <w:sz w:val="22"/>
              </w:rPr>
              <w:t>Raised at Q1 print; consensus sits near upper half of range. No post-earnings revision.</w:t>
            </w:r>
          </w:p>
        </w:tc>
      </w:tr>
      <w:tr>
        <w:tc>
          <w:tcPr>
            <w:tcW w:type="dxa" w:w="1728"/>
          </w:tcPr>
          <w:p>
            <w:r>
              <w:rPr>
                <w:rFonts w:ascii="Calibri" w:hAnsi="Calibri"/>
                <w:sz w:val="22"/>
              </w:rPr>
              <w:t>FY 2026 Operating Margin</w:t>
            </w:r>
          </w:p>
        </w:tc>
        <w:tc>
          <w:tcPr>
            <w:tcW w:type="dxa" w:w="1728"/>
          </w:tcPr>
          <w:p>
            <w:r>
              <w:rPr>
                <w:rFonts w:ascii="Calibri" w:hAnsi="Calibri"/>
                <w:sz w:val="22"/>
              </w:rPr>
              <w:t>~9.4% (replicate 2025 record)</w:t>
            </w:r>
          </w:p>
        </w:tc>
        <w:tc>
          <w:tcPr>
            <w:tcW w:type="dxa" w:w="1728"/>
          </w:tcPr>
          <w:p>
            <w:r>
              <w:rPr>
                <w:rFonts w:ascii="Calibri" w:hAnsi="Calibri"/>
                <w:sz w:val="22"/>
              </w:rPr>
              <w:t>—</w:t>
            </w:r>
          </w:p>
        </w:tc>
        <w:tc>
          <w:tcPr>
            <w:tcW w:type="dxa" w:w="1728"/>
          </w:tcPr>
          <w:p>
            <w:r>
              <w:rPr>
                <w:rFonts w:ascii="Calibri" w:hAnsi="Calibri"/>
                <w:sz w:val="22"/>
              </w:rPr>
              <w:t>9.27%</w:t>
            </w:r>
          </w:p>
        </w:tc>
        <w:tc>
          <w:tcPr>
            <w:tcW w:type="dxa" w:w="1728"/>
          </w:tcPr>
          <w:p>
            <w:r>
              <w:rPr>
                <w:rFonts w:ascii="Calibri" w:hAnsi="Calibri"/>
                <w:sz w:val="22"/>
              </w:rPr>
              <w:t>Mgmt targets replicating 2025’s 9.4% record; consensus slightly below. Mix dynamics (mechanical GMP shift) acknowledged as headwind.</w:t>
            </w:r>
          </w:p>
        </w:tc>
      </w:tr>
      <w:tr>
        <w:tc>
          <w:tcPr>
            <w:tcW w:type="dxa" w:w="1728"/>
          </w:tcPr>
          <w:p>
            <w:r>
              <w:rPr>
                <w:rFonts w:ascii="Calibri" w:hAnsi="Calibri"/>
                <w:sz w:val="22"/>
              </w:rPr>
              <w:t>Cash Flow Conversion</w:t>
            </w:r>
          </w:p>
        </w:tc>
        <w:tc>
          <w:tcPr>
            <w:tcW w:type="dxa" w:w="1728"/>
          </w:tcPr>
          <w:p>
            <w:r>
              <w:rPr>
                <w:rFonts w:ascii="Calibri" w:hAnsi="Calibri"/>
                <w:sz w:val="22"/>
              </w:rPr>
              <w:t>&gt;80% of operating income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 benchmark provided for first time on Q1 call; Q1 cash flow was essentially neutral (seasonal pattern).</w:t>
            </w:r>
          </w:p>
        </w:tc>
      </w:tr>
      <w:tr>
        <w:tc>
          <w:tcPr>
            <w:tcW w:type="dxa" w:w="1728"/>
          </w:tcPr>
          <w:p>
            <w:r>
              <w:rPr>
                <w:rFonts w:ascii="Calibri" w:hAnsi="Calibri"/>
                <w:sz w:val="22"/>
              </w:rPr>
              <w:t>Data Center Demand</w:t>
            </w:r>
          </w:p>
        </w:tc>
        <w:tc>
          <w:tcPr>
            <w:tcW w:type="dxa" w:w="1728"/>
          </w:tcPr>
          <w:p>
            <w:r>
              <w:rPr>
                <w:rFonts w:ascii="Calibri" w:hAnsi="Calibri"/>
                <w:sz w:val="22"/>
              </w:rPr>
              <w:t>No slowdown; build plans visible through 2031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Mgmt cited direct hyperscaler engagement showing build plans through 2031; tone unchanged since Q1.</w:t>
            </w:r>
          </w:p>
        </w:tc>
      </w:tr>
      <w:tr>
        <w:tc>
          <w:tcPr>
            <w:tcW w:type="dxa" w:w="1728"/>
          </w:tcPr>
          <w:p>
            <w:r>
              <w:rPr>
                <w:rFonts w:ascii="Calibri" w:hAnsi="Calibri"/>
                <w:sz w:val="22"/>
              </w:rPr>
              <w:t>Organic Growth (FY 2026)</w:t>
            </w:r>
          </w:p>
        </w:tc>
        <w:tc>
          <w:tcPr>
            <w:tcW w:type="dxa" w:w="1728"/>
          </w:tcPr>
          <w:p>
            <w:r>
              <w:rPr>
                <w:rFonts w:ascii="Calibri" w:hAnsi="Calibri"/>
                <w:sz w:val="22"/>
              </w:rPr>
              <w:t>High single digits to low-to-mid teens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Updated at Q1 from prior “high single to low double digit” range; reflects strong Q1 organic beat.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is essentially flat at $7.27 vs. $7.29 as of May 6, and full-year estimates have barely moved. </w:t>
      </w:r>
      <w:r>
        <w:rPr>
          <w:rFonts w:ascii="Calibri" w:hAnsi="Calibri"/>
          <w:b/>
          <w:color w:val="525866"/>
          <w:sz w:val="22"/>
        </w:rPr>
        <w:t>The lack of upward revision despite a massive Q1 beat suggests the street is waiting for Q2 execution confirmation before chasing numbers higher</w:t>
      </w:r>
      <w:r>
        <w:rPr>
          <w:rFonts w:ascii="Calibri" w:hAnsi="Calibri"/>
          <w:color w:val="525866"/>
          <w:sz w:val="22"/>
        </w:rPr>
        <w:t>, which means a clean Q2 beat could catalyze a meaningful estimate revision cycle.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6, 2026 — ~5 Days Post Q1 Print)</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Revenue — Q2 2026</w:t>
            </w:r>
          </w:p>
        </w:tc>
        <w:tc>
          <w:tcPr>
            <w:tcW w:type="dxa" w:w="1080"/>
          </w:tcPr>
          <w:p>
            <w:r>
              <w:rPr>
                <w:rFonts w:ascii="Calibri" w:hAnsi="Calibri"/>
                <w:sz w:val="22"/>
              </w:rPr>
              <w:t>$4.696B</w:t>
            </w:r>
          </w:p>
        </w:tc>
        <w:tc>
          <w:tcPr>
            <w:tcW w:type="dxa" w:w="1080"/>
          </w:tcPr>
          <w:p>
            <w:r>
              <w:rPr>
                <w:rFonts w:ascii="Calibri" w:hAnsi="Calibri"/>
                <w:sz w:val="22"/>
              </w:rPr>
              <w:t>$4.712B</w:t>
            </w:r>
          </w:p>
        </w:tc>
        <w:tc>
          <w:tcPr>
            <w:tcW w:type="dxa" w:w="1080"/>
          </w:tcPr>
          <w:p>
            <w:r>
              <w:rPr>
                <w:rFonts w:ascii="Calibri" w:hAnsi="Calibri"/>
                <w:sz w:val="22"/>
              </w:rPr>
              <w:t>+0.3%</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$7.29</w:t>
            </w:r>
          </w:p>
        </w:tc>
        <w:tc>
          <w:tcPr>
            <w:tcW w:type="dxa" w:w="1080"/>
          </w:tcPr>
          <w:p>
            <w:r>
              <w:rPr>
                <w:rFonts w:ascii="Calibri" w:hAnsi="Calibri"/>
                <w:sz w:val="22"/>
              </w:rPr>
              <w:t>$7.27</w:t>
            </w:r>
          </w:p>
        </w:tc>
        <w:tc>
          <w:tcPr>
            <w:tcW w:type="dxa" w:w="1080"/>
          </w:tcPr>
          <w:p>
            <w:r>
              <w:rPr>
                <w:rFonts w:ascii="Calibri" w:hAnsi="Calibri"/>
                <w:sz w:val="22"/>
              </w:rPr>
              <w:t>-0.3%</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$18.975B</w:t>
            </w:r>
          </w:p>
        </w:tc>
        <w:tc>
          <w:tcPr>
            <w:tcW w:type="dxa" w:w="1080"/>
          </w:tcPr>
          <w:p>
            <w:r>
              <w:rPr>
                <w:rFonts w:ascii="Calibri" w:hAnsi="Calibri"/>
                <w:sz w:val="22"/>
              </w:rPr>
              <w:t>$18.997B</w:t>
            </w:r>
          </w:p>
        </w:tc>
        <w:tc>
          <w:tcPr>
            <w:tcW w:type="dxa" w:w="1080"/>
          </w:tcPr>
          <w:p>
            <w:r>
              <w:rPr>
                <w:rFonts w:ascii="Calibri" w:hAnsi="Calibri"/>
                <w:sz w:val="22"/>
              </w:rPr>
              <w:t>+0.1%</w:t>
            </w:r>
          </w:p>
        </w:tc>
        <w:tc>
          <w:tcPr>
            <w:tcW w:type="dxa" w:w="1080"/>
          </w:tcPr>
          <w:p>
            <w:r>
              <w:rPr>
                <w:rFonts w:ascii="Calibri" w:hAnsi="Calibri"/>
                <w:sz w:val="22"/>
              </w:rPr>
              <w:t>$18.5B–$19.25B</w:t>
            </w:r>
          </w:p>
        </w:tc>
        <w:tc>
          <w:tcPr>
            <w:tcW w:type="dxa" w:w="1080"/>
          </w:tcPr>
          <w:p>
            <w:r>
              <w:rPr>
                <w:rFonts w:ascii="Calibri" w:hAnsi="Calibri"/>
                <w:sz w:val="22"/>
              </w:rPr>
              <w:t>$18.5B–$19.25B (unchanged)</w:t>
            </w:r>
          </w:p>
        </w:tc>
        <w:tc>
          <w:tcPr>
            <w:tcW w:type="dxa" w:w="1080"/>
          </w:tcPr>
          <w:p>
            <w:r>
              <w:rPr>
                <w:rFonts w:ascii="Calibri" w:hAnsi="Calibri"/>
                <w:sz w:val="22"/>
              </w:rPr>
              <w:t>Unchanged</w:t>
            </w:r>
          </w:p>
        </w:tc>
        <w:tc>
          <w:tcPr>
            <w:tcW w:type="dxa" w:w="1080"/>
          </w:tcPr>
          <w:p>
            <w:r>
              <w:rPr>
                <w:rFonts w:ascii="Calibri" w:hAnsi="Calibri"/>
                <w:sz w:val="22"/>
              </w:rPr>
              <w:t>+0.6% vs. mid ($18.875B)</w:t>
            </w:r>
          </w:p>
        </w:tc>
      </w:tr>
      <w:tr>
        <w:tc>
          <w:tcPr>
            <w:tcW w:type="dxa" w:w="1080"/>
          </w:tcPr>
          <w:p>
            <w:r>
              <w:rPr>
                <w:rFonts w:ascii="Calibri" w:hAnsi="Calibri"/>
                <w:sz w:val="22"/>
              </w:rPr>
              <w:t>Adj. EPS — FY 2026</w:t>
            </w:r>
          </w:p>
        </w:tc>
        <w:tc>
          <w:tcPr>
            <w:tcW w:type="dxa" w:w="1080"/>
          </w:tcPr>
          <w:p>
            <w:r>
              <w:rPr>
                <w:rFonts w:ascii="Calibri" w:hAnsi="Calibri"/>
                <w:sz w:val="22"/>
              </w:rPr>
              <w:t>$29.39</w:t>
            </w:r>
          </w:p>
        </w:tc>
        <w:tc>
          <w:tcPr>
            <w:tcW w:type="dxa" w:w="1080"/>
          </w:tcPr>
          <w:p>
            <w:r>
              <w:rPr>
                <w:rFonts w:ascii="Calibri" w:hAnsi="Calibri"/>
                <w:sz w:val="22"/>
              </w:rPr>
              <w:t>$29.41</w:t>
            </w:r>
          </w:p>
        </w:tc>
        <w:tc>
          <w:tcPr>
            <w:tcW w:type="dxa" w:w="1080"/>
          </w:tcPr>
          <w:p>
            <w:r>
              <w:rPr>
                <w:rFonts w:ascii="Calibri" w:hAnsi="Calibri"/>
                <w:sz w:val="22"/>
              </w:rPr>
              <w:t>+0.1%</w:t>
            </w:r>
          </w:p>
        </w:tc>
        <w:tc>
          <w:tcPr>
            <w:tcW w:type="dxa" w:w="1080"/>
          </w:tcPr>
          <w:p>
            <w:r>
              <w:rPr>
                <w:rFonts w:ascii="Calibri" w:hAnsi="Calibri"/>
                <w:sz w:val="22"/>
              </w:rPr>
              <w:t>$28.25–$29.75</w:t>
            </w:r>
          </w:p>
        </w:tc>
        <w:tc>
          <w:tcPr>
            <w:tcW w:type="dxa" w:w="1080"/>
          </w:tcPr>
          <w:p>
            <w:r>
              <w:rPr>
                <w:rFonts w:ascii="Calibri" w:hAnsi="Calibri"/>
                <w:sz w:val="22"/>
              </w:rPr>
              <w:t>$28.25–$29.75 (unchanged)</w:t>
            </w:r>
          </w:p>
        </w:tc>
        <w:tc>
          <w:tcPr>
            <w:tcW w:type="dxa" w:w="1080"/>
          </w:tcPr>
          <w:p>
            <w:r>
              <w:rPr>
                <w:rFonts w:ascii="Calibri" w:hAnsi="Calibri"/>
                <w:sz w:val="22"/>
              </w:rPr>
              <w:t>Unchanged</w:t>
            </w:r>
          </w:p>
        </w:tc>
        <w:tc>
          <w:tcPr>
            <w:tcW w:type="dxa" w:w="1080"/>
          </w:tcPr>
          <w:p>
            <w:r>
              <w:rPr>
                <w:rFonts w:ascii="Calibri" w:hAnsi="Calibri"/>
                <w:sz w:val="22"/>
              </w:rPr>
              <w:t>+1.4% vs. mid ($29.00)</w:t>
            </w:r>
          </w:p>
        </w:tc>
      </w:tr>
      <w:tr>
        <w:tc>
          <w:tcPr>
            <w:tcW w:type="dxa" w:w="1080"/>
          </w:tcPr>
          <w:p>
            <w:r>
              <w:rPr>
                <w:rFonts w:ascii="Calibri" w:hAnsi="Calibri"/>
                <w:sz w:val="22"/>
              </w:rPr>
              <w:t>Revenue — FY 2027</w:t>
            </w:r>
          </w:p>
        </w:tc>
        <w:tc>
          <w:tcPr>
            <w:tcW w:type="dxa" w:w="1080"/>
          </w:tcPr>
          <w:p>
            <w:r>
              <w:rPr>
                <w:rFonts w:ascii="Calibri" w:hAnsi="Calibri"/>
                <w:sz w:val="22"/>
              </w:rPr>
              <w:t>$20.327B</w:t>
            </w:r>
          </w:p>
        </w:tc>
        <w:tc>
          <w:tcPr>
            <w:tcW w:type="dxa" w:w="1080"/>
          </w:tcPr>
          <w:p>
            <w:r>
              <w:rPr>
                <w:rFonts w:ascii="Calibri" w:hAnsi="Calibri"/>
                <w:sz w:val="22"/>
              </w:rPr>
              <w:t>$20.491B</w:t>
            </w:r>
          </w:p>
        </w:tc>
        <w:tc>
          <w:tcPr>
            <w:tcW w:type="dxa" w:w="1080"/>
          </w:tcPr>
          <w:p>
            <w:r>
              <w:rPr>
                <w:rFonts w:ascii="Calibri" w:hAnsi="Calibri"/>
                <w:sz w:val="22"/>
              </w:rPr>
              <w:t>+0.8%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2027</w:t>
            </w:r>
          </w:p>
        </w:tc>
        <w:tc>
          <w:tcPr>
            <w:tcW w:type="dxa" w:w="1080"/>
          </w:tcPr>
          <w:p>
            <w:r>
              <w:rPr>
                <w:rFonts w:ascii="Calibri" w:hAnsi="Calibri"/>
                <w:sz w:val="22"/>
              </w:rPr>
              <w:t>$32.48</w:t>
            </w:r>
          </w:p>
        </w:tc>
        <w:tc>
          <w:tcPr>
            <w:tcW w:type="dxa" w:w="1080"/>
          </w:tcPr>
          <w:p>
            <w:r>
              <w:rPr>
                <w:rFonts w:ascii="Calibri" w:hAnsi="Calibri"/>
                <w:sz w:val="22"/>
              </w:rPr>
              <w:t>$32.99</w:t>
            </w:r>
          </w:p>
        </w:tc>
        <w:tc>
          <w:tcPr>
            <w:tcW w:type="dxa" w:w="1080"/>
          </w:tcPr>
          <w:p>
            <w:r>
              <w:rPr>
                <w:rFonts w:ascii="Calibri" w:hAnsi="Calibri"/>
                <w:sz w:val="22"/>
              </w:rPr>
              <w:t>+1.6%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as of May 6, 2026 (~5 trading days after April 29 print). FY 2027 estimates show modest upward drift (+0.8–1.6%) since the Q1 print, suggesting the street is beginning to build in a stronger multi-year growth trajectory.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EME has significantly underperformed since Q1 earnings — down ~19% vs. ITA +11% and SPY +3% — driven almost entirely by </w:t>
      </w:r>
      <w:r>
        <w:rPr>
          <w:rFonts w:ascii="Calibri" w:hAnsi="Calibri"/>
          <w:b/>
          <w:color w:val="525866"/>
          <w:sz w:val="22"/>
        </w:rPr>
        <w:t>multiple compression rather than estimate cuts</w:t>
      </w:r>
      <w:r>
        <w:rPr>
          <w:rFonts w:ascii="Calibri" w:hAnsi="Calibri"/>
          <w:color w:val="525866"/>
          <w:sz w:val="22"/>
        </w:rPr>
        <w:t xml:space="preserve"> (estimates are essentially flat). The de-rating appears to reflect investor concern about mechanical margin sustainability and the stock’s elevated valuation heading into the print, creating a more attractive setup for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EME vs. ITA (Sector ETF) vs. S&amp;P 500 — Indexed to 100 at Q1 2026 Earnings (April 29, 2026). Source: Yahoo Finance.</w:t>
      </w:r>
    </w:p>
    <w:p>
      <w:pPr>
        <w:pStyle w:val="ListBullet"/>
        <w:ind w:left="360" w:hanging="360"/>
      </w:pPr>
      <w:r>
        <w:rPr>
          <w:rFonts w:ascii="Calibri" w:hAnsi="Calibri"/>
          <w:b/>
          <w:color w:val="525866"/>
          <w:sz w:val="22"/>
        </w:rPr>
        <w:t xml:space="preserve">EME: </w:t>
      </w:r>
      <w:r>
        <w:rPr>
          <w:rFonts w:ascii="Calibri" w:hAnsi="Calibri"/>
          <w:color w:val="525866"/>
          <w:sz w:val="22"/>
        </w:rPr>
        <w:t>-19.3% since Q1 earnings (Apr 29 close $833.37 → Jul 30 pre-market ~$672). Stock peaked near $943 in early May before a sustained decline.</w:t>
      </w:r>
    </w:p>
    <w:p>
      <w:pPr>
        <w:pStyle w:val="ListBullet"/>
        <w:ind w:left="360" w:hanging="360"/>
      </w:pPr>
      <w:r>
        <w:rPr>
          <w:rFonts w:ascii="Calibri" w:hAnsi="Calibri"/>
          <w:b/>
          <w:color w:val="525866"/>
          <w:sz w:val="22"/>
        </w:rPr>
        <w:t xml:space="preserve">ITA (Sector ETF): </w:t>
      </w:r>
      <w:r>
        <w:rPr>
          <w:rFonts w:ascii="Calibri" w:hAnsi="Calibri"/>
          <w:color w:val="525866"/>
          <w:sz w:val="22"/>
        </w:rPr>
        <w:t>+10.9% over the same period, reflecting broad strength in defense/industrial infrastructure spending.</w:t>
      </w:r>
    </w:p>
    <w:p>
      <w:pPr>
        <w:pStyle w:val="ListBullet"/>
        <w:ind w:left="360" w:hanging="360"/>
      </w:pPr>
      <w:r>
        <w:rPr>
          <w:rFonts w:ascii="Calibri" w:hAnsi="Calibri"/>
          <w:b/>
          <w:color w:val="525866"/>
          <w:sz w:val="22"/>
        </w:rPr>
        <w:t xml:space="preserve">S&amp;P 500 (SPY): </w:t>
      </w:r>
      <w:r>
        <w:rPr>
          <w:rFonts w:ascii="Calibri" w:hAnsi="Calibri"/>
          <w:color w:val="525866"/>
          <w:sz w:val="22"/>
        </w:rPr>
        <w:t>+2.5% over the same period, a modest gain.</w:t>
      </w:r>
    </w:p>
    <w:p>
      <w:pPr>
        <w:pStyle w:val="ListBullet"/>
        <w:ind w:left="360" w:hanging="360"/>
      </w:pPr>
      <w:r>
        <w:rPr>
          <w:rFonts w:ascii="Calibri" w:hAnsi="Calibri"/>
          <w:b/>
          <w:color w:val="525866"/>
          <w:sz w:val="22"/>
        </w:rPr>
        <w:t xml:space="preserve">Key observation: </w:t>
      </w:r>
      <w:r>
        <w:rPr>
          <w:rFonts w:ascii="Calibri" w:hAnsi="Calibri"/>
          <w:color w:val="525866"/>
          <w:sz w:val="22"/>
        </w:rPr>
        <w:t>EME’s underperformance is almost entirely a valuation story — FY 2026 EPS estimates are flat since the Q1 print, meaning the ~19% stock decline represents pure multiple compression. At ~$672, EME trades at approximately 22.8x FY 2026 consensus EPS of $29.41, down from ~32x at the post-Q1 peak, which is a more reasonable entry point relative to the growth profile.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Q1 2026 earnings calls (April–May 2026) and Comfort Systems’ Q2 2026 report (July 24) is </w:t>
      </w:r>
      <w:r>
        <w:rPr>
          <w:rFonts w:ascii="Calibri" w:hAnsi="Calibri"/>
          <w:b/>
          <w:color w:val="525866"/>
          <w:sz w:val="22"/>
        </w:rPr>
        <w:t>uniformly bullish on data center demand with no signs of slowdown</w:t>
      </w:r>
      <w:r>
        <w:rPr>
          <w:rFonts w:ascii="Calibri" w:hAnsi="Calibri"/>
          <w:color w:val="525866"/>
          <w:sz w:val="22"/>
        </w:rPr>
        <w:t xml:space="preserve"> — a strong read-through for EME’s Q2 revenue. The key debate is margin: FIX’s Q2 gross margins expanded to 25.9% (a record), while STRL and MYRG both flagged labor constraints and mix dynamics. Mechanical margin recovery at EME remains the key swing factor.</w:t>
      </w:r>
    </w:p>
    <w:p>
      <w:pPr>
        <w:pStyle w:val="Heading3"/>
      </w:pPr>
      <w:r>
        <w:rPr>
          <w:rFonts w:ascii="Calibri" w:hAnsi="Calibri"/>
          <w:b/>
          <w:color w:val="3B4259"/>
          <w:sz w:val="24"/>
        </w:rPr>
        <w:t>Comfort Systems USA (FIX) — Q2 2026 Earnings (July 24, 2026)</w:t>
      </w:r>
    </w:p>
    <w:p>
      <w:r>
        <w:rPr>
          <w:rFonts w:ascii="Calibri" w:hAnsi="Calibri"/>
          <w:i/>
          <w:color w:val="525866"/>
          <w:sz w:val="22"/>
        </w:rPr>
        <w:t>Most directly comparable peer; FIX is a mechanical and electrical contractor with heavy data center exposure.</w:t>
      </w:r>
    </w:p>
    <w:p>
      <w:pPr>
        <w:pStyle w:val="ListBullet"/>
        <w:ind w:left="360" w:hanging="360"/>
      </w:pPr>
      <w:r>
        <w:rPr>
          <w:rFonts w:ascii="Calibri" w:hAnsi="Calibri"/>
          <w:b/>
          <w:color w:val="525866"/>
          <w:sz w:val="22"/>
        </w:rPr>
        <w:t xml:space="preserve">Blowout Q2 results: </w:t>
      </w:r>
      <w:r>
        <w:rPr>
          <w:rFonts w:ascii="Calibri" w:hAnsi="Calibri"/>
          <w:color w:val="525866"/>
          <w:sz w:val="22"/>
        </w:rPr>
        <w:t>FIX reported Q2 2026 revenue of $3.3B (+50% YoY), EPS of $12.53 (+92% YoY), and operating margin of 17.1% vs. 13.8% a year ago — the first quarter in company history with revenue exceeding $3B. Gross margin expanded to 25.9% from 23.5% in Q2 2025. This is a strong positive read-through for EME’s Q2 demand environment.</w:t>
      </w:r>
    </w:p>
    <w:p>
      <w:pPr>
        <w:pStyle w:val="ListBullet"/>
        <w:ind w:left="360" w:hanging="360"/>
      </w:pPr>
      <w:r>
        <w:rPr>
          <w:rFonts w:ascii="Calibri" w:hAnsi="Calibri"/>
          <w:b/>
          <w:color w:val="525866"/>
          <w:sz w:val="22"/>
        </w:rPr>
        <w:t xml:space="preserve">Data center demand: no letdown whatsoever. </w:t>
      </w:r>
      <w:r>
        <w:rPr>
          <w:rFonts w:ascii="Calibri" w:hAnsi="Calibri"/>
          <w:color w:val="525866"/>
          <w:sz w:val="22"/>
        </w:rPr>
        <w:t>FIX management stated: “There is a very deep and calm certainty among these people that they’re going to continue to build, that they absolutely need and have to do this building. So we see no letdown whatsoever.” Technology (data centers) was 58% of FIX’s H1 2026 revenue, up from 40% in the prior year. FIX sells directly to hyperscalers and described their build plans as highly visible.</w:t>
      </w:r>
    </w:p>
    <w:p>
      <w:pPr>
        <w:pStyle w:val="ListBullet"/>
        <w:ind w:left="360" w:hanging="360"/>
      </w:pPr>
      <w:r>
        <w:rPr>
          <w:rFonts w:ascii="Calibri" w:hAnsi="Calibri"/>
          <w:b/>
          <w:color w:val="525866"/>
          <w:sz w:val="22"/>
        </w:rPr>
        <w:t xml:space="preserve">Backlog at record $14.1B (+73% YoY): </w:t>
      </w:r>
      <w:r>
        <w:rPr>
          <w:rFonts w:ascii="Calibri" w:hAnsi="Calibri"/>
          <w:color w:val="525866"/>
          <w:sz w:val="22"/>
        </w:rPr>
        <w:t>FIX entered Q3 with same-store backlog 69% higher than a year ago. Modular bookings contributed $510M to Q2 backlog growth. The company guided to full-year same-store revenue growth in the “mid to high 30%” range. Strong read-through for EME’s RPO trajectory.</w:t>
      </w:r>
    </w:p>
    <w:p>
      <w:pPr>
        <w:pStyle w:val="ListBullet"/>
        <w:ind w:left="360" w:hanging="360"/>
      </w:pPr>
      <w:r>
        <w:rPr>
          <w:rFonts w:ascii="Calibri" w:hAnsi="Calibri"/>
          <w:b/>
          <w:color w:val="525866"/>
          <w:sz w:val="22"/>
        </w:rPr>
        <w:t xml:space="preserve">Mechanical margins expanded sharply: </w:t>
      </w:r>
      <w:r>
        <w:rPr>
          <w:rFonts w:ascii="Calibri" w:hAnsi="Calibri"/>
          <w:color w:val="525866"/>
          <w:sz w:val="22"/>
        </w:rPr>
        <w:t>FIX’s mechanical segment gross margin jumped to 25.6% in Q2 2026 from 22.9% in Q2 2025, and electrical margins rose to 26.4% from 25.3%. This is a positive read-through for EME’s mechanical margin recovery from Q1’s 10.9% dip, though FIX’s margin profile is structurally higher than EME’s.</w:t>
      </w:r>
    </w:p>
    <w:p>
      <w:pPr>
        <w:pStyle w:val="ListBullet"/>
        <w:ind w:left="360" w:hanging="360"/>
      </w:pPr>
      <w:r>
        <w:rPr>
          <w:rFonts w:ascii="Calibri" w:hAnsi="Calibri"/>
          <w:b/>
          <w:color w:val="525866"/>
          <w:sz w:val="22"/>
        </w:rPr>
        <w:t xml:space="preserve">Pricing discipline: </w:t>
      </w:r>
      <w:r>
        <w:rPr>
          <w:rFonts w:ascii="Calibri" w:hAnsi="Calibri"/>
          <w:color w:val="525866"/>
          <w:sz w:val="22"/>
        </w:rPr>
        <w:t>FIX described “excellent pricing” and continued to book work with “good margins.” Management believes gross profit margins will “continue in the strong ranges” averaged in recent quarters. No margin pressure from competition noted.</w:t>
      </w:r>
    </w:p>
    <w:p>
      <w:pPr>
        <w:pStyle w:val="ListBullet"/>
        <w:ind w:left="360" w:hanging="360"/>
      </w:pPr>
      <w:r>
        <w:rPr>
          <w:rFonts w:ascii="Calibri" w:hAnsi="Calibri"/>
          <w:b/>
          <w:color w:val="525866"/>
          <w:sz w:val="22"/>
        </w:rPr>
        <w:t xml:space="preserve">Service revenue as future opportunity: </w:t>
      </w:r>
      <w:r>
        <w:rPr>
          <w:rFonts w:ascii="Calibri" w:hAnsi="Calibri"/>
          <w:color w:val="525866"/>
          <w:sz w:val="22"/>
        </w:rPr>
        <w:t>FIX noted that “every project we build today in the data center world really becomes tomorrow’s service opportunity,” highlighting the long-tail revenue potential from the installed base — consistent with EME’s building services growth thesis.</w:t>
      </w:r>
    </w:p>
    <w:p>
      <w:pPr>
        <w:pStyle w:val="Heading3"/>
      </w:pPr>
      <w:r>
        <w:rPr>
          <w:rFonts w:ascii="Calibri" w:hAnsi="Calibri"/>
          <w:b/>
          <w:color w:val="3B4259"/>
          <w:sz w:val="24"/>
        </w:rPr>
        <w:t>Quanta Services (PWR) — Q1 2026 Earnings (April 30, 2026)</w:t>
      </w:r>
    </w:p>
    <w:p>
      <w:r>
        <w:rPr>
          <w:rFonts w:ascii="Calibri" w:hAnsi="Calibri"/>
          <w:i/>
          <w:color w:val="525866"/>
          <w:sz w:val="22"/>
        </w:rPr>
        <w:t>Large specialty contractor with electrical infrastructure and data center exposure.</w:t>
      </w:r>
    </w:p>
    <w:p>
      <w:pPr>
        <w:pStyle w:val="ListBullet"/>
        <w:ind w:left="360" w:hanging="360"/>
      </w:pPr>
      <w:r>
        <w:rPr>
          <w:rFonts w:ascii="Calibri" w:hAnsi="Calibri"/>
          <w:b/>
          <w:color w:val="525866"/>
          <w:sz w:val="22"/>
        </w:rPr>
        <w:t xml:space="preserve">Demand is broad-based with no holes: </w:t>
      </w:r>
      <w:r>
        <w:rPr>
          <w:rFonts w:ascii="Calibri" w:hAnsi="Calibri"/>
          <w:color w:val="525866"/>
          <w:sz w:val="22"/>
        </w:rPr>
        <w:t>PWR CEO stated: “I have not seen holes in them. I’m not seeing holes in the markets that we serve.” Utilities are being asked to “double in size” and technology customers are demanding “speed at scale they haven’t dealt with before.” PWR raised full-year 2026 guidance to $34.7B–$35.2B revenue and $13.55–$14.25 EPS.</w:t>
      </w:r>
    </w:p>
    <w:p>
      <w:pPr>
        <w:pStyle w:val="ListBullet"/>
        <w:ind w:left="360" w:hanging="360"/>
      </w:pPr>
      <w:r>
        <w:rPr>
          <w:rFonts w:ascii="Calibri" w:hAnsi="Calibri"/>
          <w:b/>
          <w:color w:val="525866"/>
          <w:sz w:val="22"/>
        </w:rPr>
        <w:t xml:space="preserve">Data center TAM described as $1 trillion+: </w:t>
      </w:r>
      <w:r>
        <w:rPr>
          <w:rFonts w:ascii="Calibri" w:hAnsi="Calibri"/>
          <w:color w:val="525866"/>
          <w:sz w:val="22"/>
        </w:rPr>
        <w:t>PWR raised its technology/load center revenue growth outlook to 70–110% YoY and expects 100%+ growth in this segment. Management described “daily” opportunities from hyperscalers. Positive read-through for EME’s data center pipeline.</w:t>
      </w:r>
    </w:p>
    <w:p>
      <w:pPr>
        <w:pStyle w:val="ListBullet"/>
        <w:ind w:left="360" w:hanging="360"/>
      </w:pPr>
      <w:r>
        <w:rPr>
          <w:rFonts w:ascii="Calibri" w:hAnsi="Calibri"/>
          <w:b/>
          <w:color w:val="525866"/>
          <w:sz w:val="22"/>
        </w:rPr>
        <w:t xml:space="preserve">Record backlog of $48.5B, book-to-bill 1.6x: </w:t>
      </w:r>
      <w:r>
        <w:rPr>
          <w:rFonts w:ascii="Calibri" w:hAnsi="Calibri"/>
          <w:color w:val="525866"/>
          <w:sz w:val="22"/>
        </w:rPr>
        <w:t>PWR’s backlog growth was broad-based across all segments. Management expects backlog to continue rising year-over-year “for as far as I can see.” Consistent with EME’s record $15.6B RPO.</w:t>
      </w:r>
    </w:p>
    <w:p>
      <w:pPr>
        <w:pStyle w:val="ListBullet"/>
        <w:ind w:left="360" w:hanging="360"/>
      </w:pPr>
      <w:r>
        <w:rPr>
          <w:rFonts w:ascii="Calibri" w:hAnsi="Calibri"/>
          <w:b/>
          <w:color w:val="525866"/>
          <w:sz w:val="22"/>
        </w:rPr>
        <w:t xml:space="preserve">Elongated demand cycle: </w:t>
      </w:r>
      <w:r>
        <w:rPr>
          <w:rFonts w:ascii="Calibri" w:hAnsi="Calibri"/>
          <w:color w:val="525866"/>
          <w:sz w:val="22"/>
        </w:rPr>
        <w:t>PWR management stated: “I do think you’ll see an elongated cycle. I don’t think you’re looking at something that stops in 5 years. You’re seeing decades of type [demand].” This multi-decade framing is consistent with EME management’s hyperscaler build plan visibility through 2031.</w:t>
      </w:r>
    </w:p>
    <w:p>
      <w:pPr>
        <w:pStyle w:val="ListBullet"/>
        <w:ind w:left="360" w:hanging="360"/>
      </w:pPr>
      <w:r>
        <w:rPr>
          <w:rFonts w:ascii="Calibri" w:hAnsi="Calibri"/>
          <w:b/>
          <w:color w:val="525866"/>
          <w:sz w:val="22"/>
        </w:rPr>
        <w:t xml:space="preserve">Seasonality changing: </w:t>
      </w:r>
      <w:r>
        <w:rPr>
          <w:rFonts w:ascii="Calibri" w:hAnsi="Calibri"/>
          <w:color w:val="525866"/>
          <w:sz w:val="22"/>
        </w:rPr>
        <w:t>PWR noted Q1 is no longer falling off as much as historically, suggesting the construction cycle is becoming more consistent year-round — a positive for EME’s Q2 execution visibility.</w:t>
      </w:r>
    </w:p>
    <w:p>
      <w:pPr>
        <w:pStyle w:val="Heading3"/>
      </w:pPr>
      <w:r>
        <w:rPr>
          <w:rFonts w:ascii="Calibri" w:hAnsi="Calibri"/>
          <w:b/>
          <w:color w:val="3B4259"/>
          <w:sz w:val="24"/>
        </w:rPr>
        <w:t>Sterling Infrastructure (STRL) — Q1 2026 Earnings (May 5, 2026)</w:t>
      </w:r>
    </w:p>
    <w:p>
      <w:r>
        <w:rPr>
          <w:rFonts w:ascii="Calibri" w:hAnsi="Calibri"/>
          <w:i/>
          <w:color w:val="525866"/>
          <w:sz w:val="22"/>
        </w:rPr>
        <w:t>Data center site development and electrical contractor; strong read-through on data center project scale and geography.</w:t>
      </w:r>
    </w:p>
    <w:p>
      <w:pPr>
        <w:pStyle w:val="ListBullet"/>
        <w:ind w:left="360" w:hanging="360"/>
      </w:pPr>
      <w:r>
        <w:rPr>
          <w:rFonts w:ascii="Calibri" w:hAnsi="Calibri"/>
          <w:b/>
          <w:color w:val="525866"/>
          <w:sz w:val="22"/>
        </w:rPr>
        <w:t xml:space="preserve">Unprecedented demand; projects growing in size and duration: </w:t>
      </w:r>
      <w:r>
        <w:rPr>
          <w:rFonts w:ascii="Calibri" w:hAnsi="Calibri"/>
          <w:color w:val="525866"/>
          <w:sz w:val="22"/>
        </w:rPr>
        <w:t>STRL CEO stated the outlook is “stronger than ever” with customers requesting “larger, more complex, and longer-duration projects.” Data center campuses have grown from 100 acres to 1,000+ acres, with future projects potentially spanning multi-thousand acres. Projects are now 4–5 year durations vs. 3 years previously.</w:t>
      </w:r>
    </w:p>
    <w:p>
      <w:pPr>
        <w:pStyle w:val="ListBullet"/>
        <w:ind w:left="360" w:hanging="360"/>
      </w:pPr>
      <w:r>
        <w:rPr>
          <w:rFonts w:ascii="Calibri" w:hAnsi="Calibri"/>
          <w:b/>
          <w:color w:val="525866"/>
          <w:sz w:val="22"/>
        </w:rPr>
        <w:t xml:space="preserve">Texas market accelerating rapidly: </w:t>
      </w:r>
      <w:r>
        <w:rPr>
          <w:rFonts w:ascii="Calibri" w:hAnsi="Calibri"/>
          <w:color w:val="525866"/>
          <w:sz w:val="22"/>
        </w:rPr>
        <w:t>STRL is being “pulled more rapidly into new geographies, including Texas, the Pacific Northwest and the Midwest.” Core customers are discussing project starts in 2028–2029. Consistent with EME’s geographic expansion into new data center markets.</w:t>
      </w:r>
    </w:p>
    <w:p>
      <w:pPr>
        <w:pStyle w:val="ListBullet"/>
        <w:ind w:left="360" w:hanging="360"/>
      </w:pPr>
      <w:r>
        <w:rPr>
          <w:rFonts w:ascii="Calibri" w:hAnsi="Calibri"/>
          <w:b/>
          <w:color w:val="525866"/>
          <w:sz w:val="22"/>
        </w:rPr>
        <w:t xml:space="preserve">Combined backlog +131% YoY to $5.2B; book-to-burn 3.5x: </w:t>
      </w:r>
      <w:r>
        <w:rPr>
          <w:rFonts w:ascii="Calibri" w:hAnsi="Calibri"/>
          <w:color w:val="525866"/>
          <w:sz w:val="22"/>
        </w:rPr>
        <w:t>Mission-critical work (data centers, large manufacturing, semiconductors) represents over 90% of E-Infrastructure signed backlog. STRL raised FY 2026 guidance to $3.7B–$3.8B revenue (+50% YoY) and adjusted EPS of $18.40–$19.05 (+72% YoY).</w:t>
      </w:r>
    </w:p>
    <w:p>
      <w:pPr>
        <w:pStyle w:val="ListBullet"/>
        <w:ind w:left="360" w:hanging="360"/>
      </w:pPr>
      <w:r>
        <w:rPr>
          <w:rFonts w:ascii="Calibri" w:hAnsi="Calibri"/>
          <w:b/>
          <w:color w:val="525866"/>
          <w:sz w:val="22"/>
        </w:rPr>
        <w:t xml:space="preserve">Labor is the binding constraint: </w:t>
      </w:r>
      <w:r>
        <w:rPr>
          <w:rFonts w:ascii="Calibri" w:hAnsi="Calibri"/>
          <w:color w:val="525866"/>
          <w:sz w:val="22"/>
        </w:rPr>
        <w:t>STRL CEO said “I just wish I had 2,000 or 3,000 more electricians, and we would grow it even faster.” This labor scarcity dynamic is consistent with EME’s supervision bottleneck commentary and supports pricing discipline across the sector.</w:t>
      </w:r>
    </w:p>
    <w:p>
      <w:pPr>
        <w:pStyle w:val="ListBullet"/>
        <w:ind w:left="360" w:hanging="360"/>
      </w:pPr>
      <w:r>
        <w:rPr>
          <w:rFonts w:ascii="Calibri" w:hAnsi="Calibri"/>
          <w:b/>
          <w:color w:val="525866"/>
          <w:sz w:val="22"/>
        </w:rPr>
        <w:t xml:space="preserve">Margins driven by execution, not price: </w:t>
      </w:r>
      <w:r>
        <w:rPr>
          <w:rFonts w:ascii="Calibri" w:hAnsi="Calibri"/>
          <w:color w:val="525866"/>
          <w:sz w:val="22"/>
        </w:rPr>
        <w:t>STRL explicitly stated: “Everybody keeps asking us if we’re getting more price. The answer is no, we’re not getting more price. This is all around effectiveness and efficiency.” STRL achieved record Q1 adjusted EBITDA margins of 20% (+150 bps YoY). Consistent with EME’s focus on margin dollars over margin percentages.</w:t>
      </w:r>
    </w:p>
    <w:p>
      <w:pPr>
        <w:pStyle w:val="Heading3"/>
      </w:pPr>
      <w:r>
        <w:rPr>
          <w:rFonts w:ascii="Calibri" w:hAnsi="Calibri"/>
          <w:b/>
          <w:color w:val="3B4259"/>
          <w:sz w:val="24"/>
        </w:rPr>
        <w:t>MasTec (MTZ) — Q1 2026 Earnings (May 1, 2026)</w:t>
      </w:r>
    </w:p>
    <w:p>
      <w:r>
        <w:rPr>
          <w:rFonts w:ascii="Calibri" w:hAnsi="Calibri"/>
          <w:i/>
          <w:color w:val="525866"/>
          <w:sz w:val="22"/>
        </w:rPr>
        <w:t>Diversified infrastructure contractor with power delivery, clean energy, and data center exposure.</w:t>
      </w:r>
    </w:p>
    <w:p>
      <w:pPr>
        <w:pStyle w:val="ListBullet"/>
        <w:ind w:left="360" w:hanging="360"/>
      </w:pPr>
      <w:r>
        <w:rPr>
          <w:rFonts w:ascii="Calibri" w:hAnsi="Calibri"/>
          <w:b/>
          <w:color w:val="525866"/>
          <w:sz w:val="22"/>
        </w:rPr>
        <w:t xml:space="preserve">Record backlog of $20.3B (+28% YoY), book-to-bill 1.4x: </w:t>
      </w:r>
      <w:r>
        <w:rPr>
          <w:rFonts w:ascii="Calibri" w:hAnsi="Calibri"/>
          <w:color w:val="525866"/>
          <w:sz w:val="22"/>
        </w:rPr>
        <w:t>MTZ delivered record Q1 2026 results with revenue +34% YoY, adjusted EBITDA +73%, and EPS +174%. Power Delivery backlog hit a record $6.2B with 1.6x book-to-bill. MTZ raised FY 2026 guidance to $17.5B revenue (+22% YoY) and adjusted EPS of $8.79 (+35% YoY).</w:t>
      </w:r>
    </w:p>
    <w:p>
      <w:pPr>
        <w:pStyle w:val="ListBullet"/>
        <w:ind w:left="360" w:hanging="360"/>
      </w:pPr>
      <w:r>
        <w:rPr>
          <w:rFonts w:ascii="Calibri" w:hAnsi="Calibri"/>
          <w:b/>
          <w:color w:val="525866"/>
          <w:sz w:val="22"/>
        </w:rPr>
        <w:t xml:space="preserve">Data center construction is “a cycle that’s just starting’: </w:t>
      </w:r>
      <w:r>
        <w:rPr>
          <w:rFonts w:ascii="Calibri" w:hAnsi="Calibri"/>
          <w:color w:val="525866"/>
          <w:sz w:val="22"/>
        </w:rPr>
        <w:t>MTZ CEO stated: “Obviously, data center construction is really a cycle that’s just starting.” AI and data centers could drive up to 12% of total U.S. electricity consumption by end of decade, requiring “significant expansion of the grid, new transmission lines, substations and upgrades.” Strong read-through for EME’s multi-year data center visibility.</w:t>
      </w:r>
    </w:p>
    <w:p>
      <w:pPr>
        <w:pStyle w:val="ListBullet"/>
        <w:ind w:left="360" w:hanging="360"/>
      </w:pPr>
      <w:r>
        <w:rPr>
          <w:rFonts w:ascii="Calibri" w:hAnsi="Calibri"/>
          <w:b/>
          <w:color w:val="525866"/>
          <w:sz w:val="22"/>
        </w:rPr>
        <w:t xml:space="preserve">Repricing benefits just beginning to flow through: </w:t>
      </w:r>
      <w:r>
        <w:rPr>
          <w:rFonts w:ascii="Calibri" w:hAnsi="Calibri"/>
          <w:color w:val="525866"/>
          <w:sz w:val="22"/>
        </w:rPr>
        <w:t>MTZ management stated: “I think we’re just at the beginning of seeing some of the improvements that we saw in ’25 relative to backlog and repricing, and I think that will play through the balance of ’26 and into ’27.” This margin expansion trajectory is a positive read-through for EME’s operating leverage.</w:t>
      </w:r>
    </w:p>
    <w:p>
      <w:pPr>
        <w:pStyle w:val="ListBullet"/>
        <w:ind w:left="360" w:hanging="360"/>
      </w:pPr>
      <w:r>
        <w:rPr>
          <w:rFonts w:ascii="Calibri" w:hAnsi="Calibri"/>
          <w:b/>
          <w:color w:val="525866"/>
          <w:sz w:val="22"/>
        </w:rPr>
        <w:t xml:space="preserve">Seasonality shifting: </w:t>
      </w:r>
      <w:r>
        <w:rPr>
          <w:rFonts w:ascii="Calibri" w:hAnsi="Calibri"/>
          <w:color w:val="525866"/>
          <w:sz w:val="22"/>
        </w:rPr>
        <w:t>MTZ now expects to generate ~45% of full-year EBITDA in H1 2026, “implying markedly lower seasonality than our business has experienced historically.” This is consistent with EME’s commentary about stronger-than-expected Q1 revenue and supports a strong Q2 print.</w:t>
      </w:r>
    </w:p>
    <w:p>
      <w:pPr>
        <w:pStyle w:val="Heading3"/>
      </w:pPr>
      <w:r>
        <w:rPr>
          <w:rFonts w:ascii="Calibri" w:hAnsi="Calibri"/>
          <w:b/>
          <w:color w:val="3B4259"/>
          <w:sz w:val="24"/>
        </w:rPr>
        <w:t>MYR Group (MYRG) — Q1 2026 Earnings (April 30, 2026)</w:t>
      </w:r>
    </w:p>
    <w:p>
      <w:r>
        <w:rPr>
          <w:rFonts w:ascii="Calibri" w:hAnsi="Calibri"/>
          <w:i/>
          <w:color w:val="525866"/>
          <w:sz w:val="22"/>
        </w:rPr>
        <w:t>Electrical contractor (T&amp;D and C&amp;I) with data center and grid infrastructure exposure.</w:t>
      </w:r>
    </w:p>
    <w:p>
      <w:pPr>
        <w:pStyle w:val="ListBullet"/>
        <w:ind w:left="360" w:hanging="360"/>
      </w:pPr>
      <w:r>
        <w:rPr>
          <w:rFonts w:ascii="Calibri" w:hAnsi="Calibri"/>
          <w:b/>
          <w:color w:val="525866"/>
          <w:sz w:val="22"/>
        </w:rPr>
        <w:t xml:space="preserve">Data center construction starts up ~100% YoY: </w:t>
      </w:r>
      <w:r>
        <w:rPr>
          <w:rFonts w:ascii="Calibri" w:hAnsi="Calibri"/>
          <w:color w:val="525866"/>
          <w:sz w:val="22"/>
        </w:rPr>
        <w:t>MYRG cited FMI’s 2026 North American Engineering and Construction Outlook showing data center construction starts up nearly 100% year-over-year. MYRG was awarded multiple data center projects in New Jersey, Arizona, California, and Colorado. Strong demand confirmation for EME’s electrical construction segment.</w:t>
      </w:r>
    </w:p>
    <w:p>
      <w:pPr>
        <w:pStyle w:val="ListBullet"/>
        <w:ind w:left="360" w:hanging="360"/>
      </w:pPr>
      <w:r>
        <w:rPr>
          <w:rFonts w:ascii="Calibri" w:hAnsi="Calibri"/>
          <w:b/>
          <w:color w:val="525866"/>
          <w:sz w:val="22"/>
        </w:rPr>
        <w:t xml:space="preserve">Record backlog of $2.84B (+8% YoY): </w:t>
      </w:r>
      <w:r>
        <w:rPr>
          <w:rFonts w:ascii="Calibri" w:hAnsi="Calibri"/>
          <w:color w:val="525866"/>
          <w:sz w:val="22"/>
        </w:rPr>
        <w:t>MYRG raised full-year 2026 revenue growth guidance to ~12% (from ~10% initially). T&amp;D margin profile raised to 8–11% (from 7–10.5%) and C&amp;I margin profile raised to 6–9% (from 5–7.5%). Margin improvement driven by better contract management and project execution, not pricing.</w:t>
      </w:r>
    </w:p>
    <w:p>
      <w:pPr>
        <w:pStyle w:val="ListBullet"/>
        <w:ind w:left="360" w:hanging="360"/>
      </w:pPr>
      <w:r>
        <w:rPr>
          <w:rFonts w:ascii="Calibri" w:hAnsi="Calibri"/>
          <w:b/>
          <w:color w:val="525866"/>
          <w:sz w:val="22"/>
        </w:rPr>
        <w:t xml:space="preserve">Mission-critical vs. commercial divergence: </w:t>
      </w:r>
      <w:r>
        <w:rPr>
          <w:rFonts w:ascii="Calibri" w:hAnsi="Calibri"/>
          <w:color w:val="525866"/>
          <w:sz w:val="22"/>
        </w:rPr>
        <w:t>MYRG noted “a clear divergence within the construction market” — “mission-critical electrical and infrastructure work is showing sustained resilient growth, while more traditional commercial building segments remain volatile.” This bifurcation is consistent with EME’s deliberate portfolio pruning toward higher-quality end markets.</w:t>
      </w:r>
    </w:p>
    <w:p>
      <w:pPr>
        <w:pStyle w:val="ListBullet"/>
        <w:ind w:left="360" w:hanging="360"/>
      </w:pPr>
      <w:r>
        <w:rPr>
          <w:rFonts w:ascii="Calibri" w:hAnsi="Calibri"/>
          <w:b/>
          <w:color w:val="525866"/>
          <w:sz w:val="22"/>
        </w:rPr>
        <w:t xml:space="preserve">Labor market tight but not yet translating to pricing: </w:t>
      </w:r>
      <w:r>
        <w:rPr>
          <w:rFonts w:ascii="Calibri" w:hAnsi="Calibri"/>
          <w:color w:val="525866"/>
          <w:sz w:val="22"/>
        </w:rPr>
        <w:t>MYRG stated the tight labor market is “not really turning into margins today,” with the market remaining “fairly competitive.” However, MYRG raised its margin profiles, suggesting execution-driven improvement is the path to margin expansion — consistent with EME’s framework.</w:t>
      </w:r>
    </w:p>
    <w:p>
      <w:pPr>
        <w:pStyle w:val="ListBullet"/>
        <w:ind w:left="360" w:hanging="360"/>
      </w:pPr>
      <w:r>
        <w:rPr>
          <w:rFonts w:ascii="Calibri" w:hAnsi="Calibri"/>
          <w:b/>
          <w:color w:val="525866"/>
          <w:sz w:val="22"/>
        </w:rPr>
        <w:t xml:space="preserve">Long-term demand conversations extending to 2030–2032: </w:t>
      </w:r>
      <w:r>
        <w:rPr>
          <w:rFonts w:ascii="Calibri" w:hAnsi="Calibri"/>
          <w:color w:val="525866"/>
          <w:sz w:val="22"/>
        </w:rPr>
        <w:t>MYRG management noted: “Our conversations with clients aren’t just about projects that are going to start in the next year or 2. We’re having conversations with clients about projects going to start in ’30, ’31, ’32 and beyond.” Consistent with EME’s hyperscaler build plan visibility through 2031.</w:t>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No material negative developments since Q1 earnings — the most important event is the Q2 2026 earnings release itself (July 30). The stock’s ~19% decline since Q1 appears driven by multiple compression rather than any fundamental deterioration, and the peer read-through from FIX’s blowout Q2 is the most important recent positive signal.</w:t>
      </w:r>
    </w:p>
    <w:p>
      <w:pPr>
        <w:pStyle w:val="ListBullet"/>
        <w:ind w:left="360" w:hanging="360"/>
      </w:pPr>
      <w:r>
        <w:rPr>
          <w:rFonts w:ascii="Calibri" w:hAnsi="Calibri"/>
          <w:b/>
          <w:color w:val="525866"/>
          <w:sz w:val="22"/>
        </w:rPr>
        <w:t xml:space="preserve">July 24, 2026 — Comfort Systems USA (FIX) Q2 2026 Blowout: </w:t>
      </w:r>
      <w:r>
        <w:rPr>
          <w:rFonts w:ascii="Calibri" w:hAnsi="Calibri"/>
          <w:color w:val="525866"/>
          <w:sz w:val="22"/>
        </w:rPr>
        <w:t>FIX reported Q2 revenue of $3.3B (+50% YoY) and EPS of $12.53 (+92% YoY), with backlog at a record $14.1B (+73% YoY). This is the most important recent read-through for EME, confirming that data center demand and mechanical/electrical margins remain robust heading into EME’s Q2 print. FIX’s mechanical gross margin of 25.6% (vs. 22.9% a year ago) is a positive signal for EME’s mechanical margin recovery.</w:t>
      </w:r>
    </w:p>
    <w:p>
      <w:pPr>
        <w:pStyle w:val="ListBullet"/>
        <w:ind w:left="360" w:hanging="360"/>
      </w:pPr>
      <w:r>
        <w:rPr>
          <w:rFonts w:ascii="Calibri" w:hAnsi="Calibri"/>
          <w:b/>
          <w:color w:val="525866"/>
          <w:sz w:val="22"/>
        </w:rPr>
        <w:t xml:space="preserve">July 16, 2026 — EME Sets Q2 2026 Earnings Release Date: </w:t>
      </w:r>
      <w:r>
        <w:rPr>
          <w:rFonts w:ascii="Calibri" w:hAnsi="Calibri"/>
          <w:color w:val="525866"/>
          <w:sz w:val="22"/>
        </w:rPr>
        <w:t>EMCOR Group officially set July 30, 2026 as the Q2 2026 earnings release date with a 10:30 AM ET conference call. No pre-announcement or guidance update was included, suggesting results are tracking within the raised guidance range.</w:t>
      </w:r>
    </w:p>
    <w:p>
      <w:pPr>
        <w:pStyle w:val="ListBullet"/>
        <w:ind w:left="360" w:hanging="360"/>
      </w:pPr>
      <w:r>
        <w:rPr>
          <w:rFonts w:ascii="Calibri" w:hAnsi="Calibri"/>
          <w:b/>
          <w:color w:val="525866"/>
          <w:sz w:val="22"/>
        </w:rPr>
        <w:t xml:space="preserve">July 1, 2026 — EME Declares Regular Quarterly Dividend: </w:t>
      </w:r>
      <w:r>
        <w:rPr>
          <w:rFonts w:ascii="Calibri" w:hAnsi="Calibri"/>
          <w:color w:val="525866"/>
          <w:sz w:val="22"/>
        </w:rPr>
        <w:t>EMCOR declared its regular quarterly dividend, consistent with the ~60% dividend increase announced on the Q1 2026 call. No change to the dividend level, confirming management’s confidence in cash generation.</w:t>
      </w:r>
    </w:p>
    <w:p>
      <w:pPr>
        <w:pStyle w:val="ListBullet"/>
        <w:ind w:left="360" w:hanging="360"/>
      </w:pPr>
      <w:r>
        <w:rPr>
          <w:rFonts w:ascii="Calibri" w:hAnsi="Calibri"/>
          <w:b/>
          <w:color w:val="525866"/>
          <w:sz w:val="22"/>
        </w:rPr>
        <w:t xml:space="preserve">May 2026 — Peer Q1 Earnings Broadly Positive: </w:t>
      </w:r>
      <w:r>
        <w:rPr>
          <w:rFonts w:ascii="Calibri" w:hAnsi="Calibri"/>
          <w:color w:val="525866"/>
          <w:sz w:val="22"/>
        </w:rPr>
        <w:t>PWR (Apr 30), MYRG (Apr 30), MTZ (May 1), and STRL (May 5) all reported strong Q1 2026 results and raised full-year guidance, with universal commentary on accelerating data center demand, record backlogs, and no signs of demand slowdown. All peers cited labor availability (not demand) as the primary constraint on growth.</w:t>
      </w:r>
    </w:p>
    <w:p>
      <w:pPr>
        <w:pStyle w:val="ListBullet"/>
        <w:ind w:left="360" w:hanging="360"/>
      </w:pPr>
      <w:r>
        <w:rPr>
          <w:rFonts w:ascii="Calibri" w:hAnsi="Calibri"/>
          <w:b/>
          <w:color w:val="525866"/>
          <w:sz w:val="22"/>
        </w:rPr>
        <w:t xml:space="preserve">April 29, 2026 — EME Q1 2026 Earnings Beat &amp; Guidance Raise: </w:t>
      </w:r>
      <w:r>
        <w:rPr>
          <w:rFonts w:ascii="Calibri" w:hAnsi="Calibri"/>
          <w:color w:val="525866"/>
          <w:sz w:val="22"/>
        </w:rPr>
        <w:t>EME reported record Q1 revenue of $4.628B (+19.8% YoY, +10.3% vs. consensus) and adj. EPS of $6.84 (+15.7% vs. consensus). RPOs reached a record $15.62B (+32.9% YoY). Full-year 2026 guidance raised to $18.5B–$19.25B revenue and $28.25–$29.75 EPS. Stock closed modestly lower on the day despite the large beats, suggesting the bar had been set very high.</w:t>
      </w:r>
    </w:p>
    <w:p>
      <w:pPr>
        <w:pStyle w:val="ListBullet"/>
        <w:ind w:left="360" w:hanging="360"/>
      </w:pPr>
      <w:r>
        <w:rPr>
          <w:rFonts w:ascii="Calibri" w:hAnsi="Calibri"/>
          <w:b/>
          <w:color w:val="525866"/>
          <w:sz w:val="22"/>
        </w:rPr>
        <w:t xml:space="preserve">Macro: No material tariff or macro disruption to EME’s end markets: </w:t>
      </w:r>
      <w:r>
        <w:rPr>
          <w:rFonts w:ascii="Calibri" w:hAnsi="Calibri"/>
          <w:color w:val="525866"/>
          <w:sz w:val="22"/>
        </w:rPr>
        <w:t>Management on the Q1 call acknowledged ongoing macroeconomic challenges (geopolitical events, commodity prices) but noted no slowdown in demand. Data center capex commitments from hyperscalers appear insulated from near-term macro volatility given multi-year build plans.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dominated by routine post-earnings sales and compensation-related awards — no open-market buys and no unusual discretionary selling patterns. The CEO’s April 30 transaction was a gift (code G), not a sale. </w:t>
      </w:r>
      <w:r>
        <w:rPr>
          <w:rFonts w:ascii="Calibri" w:hAnsi="Calibri"/>
          <w:b/>
          <w:color w:val="525866"/>
          <w:sz w:val="22"/>
        </w:rPr>
        <w:t>No insider has made an open-market purchase since Q1 earnings, which is notable given the ~19% stock decline</w:t>
      </w:r>
      <w:r>
        <w:rPr>
          <w:rFonts w:ascii="Calibri" w:hAnsi="Calibri"/>
          <w:color w:val="525866"/>
          <w:sz w:val="22"/>
        </w:rPr>
        <w:t xml:space="preserve"> — though the absence of buys is not necessarily a negative signal given the stock’s still-elevated absolute price level.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Lowe, Carol P.</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950</w:t>
            </w:r>
          </w:p>
        </w:tc>
        <w:tc>
          <w:tcPr>
            <w:tcW w:type="dxa" w:w="1440"/>
          </w:tcPr>
          <w:p>
            <w:r>
              <w:rPr>
                <w:rFonts w:ascii="Calibri" w:hAnsi="Calibri"/>
                <w:sz w:val="22"/>
              </w:rPr>
              <w:t>Jun 17, 2026</w:t>
            </w:r>
          </w:p>
        </w:tc>
        <w:tc>
          <w:tcPr>
            <w:tcW w:type="dxa" w:w="1440"/>
          </w:tcPr>
          <w:p>
            <w:r>
              <w:rPr>
                <w:rFonts w:ascii="Calibri" w:hAnsi="Calibri"/>
                <w:sz w:val="22"/>
              </w:rPr>
              <w:t>Discretionary sale; no 10b5-1 plan indicated.</w:t>
            </w:r>
          </w:p>
        </w:tc>
      </w:tr>
      <w:tr>
        <w:tc>
          <w:tcPr>
            <w:tcW w:type="dxa" w:w="1440"/>
          </w:tcPr>
          <w:p>
            <w:r>
              <w:rPr>
                <w:rFonts w:ascii="Calibri" w:hAnsi="Calibri"/>
                <w:sz w:val="22"/>
              </w:rPr>
              <w:t>Altmeyer, John W.</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304</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Dahl, Amy E.</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230</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Johnson, Ronald L.</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230</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McEvoy, M. Kevin</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230</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Roche, Patrick J.</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304</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Schwarzwaelder, Steven</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230</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Walker-Lee, Robin A.</w:t>
            </w:r>
          </w:p>
        </w:tc>
        <w:tc>
          <w:tcPr>
            <w:tcW w:type="dxa" w:w="1440"/>
          </w:tcPr>
          <w:p>
            <w:r>
              <w:rPr>
                <w:rFonts w:ascii="Calibri" w:hAnsi="Calibri"/>
                <w:sz w:val="22"/>
              </w:rPr>
              <w:t>Director</w:t>
            </w:r>
          </w:p>
        </w:tc>
        <w:tc>
          <w:tcPr>
            <w:tcW w:type="dxa" w:w="1440"/>
          </w:tcPr>
          <w:p>
            <w:r>
              <w:rPr>
                <w:rFonts w:ascii="Calibri" w:hAnsi="Calibri"/>
                <w:sz w:val="22"/>
              </w:rPr>
              <w:t>Compensation Award (A)</w:t>
            </w:r>
          </w:p>
        </w:tc>
        <w:tc>
          <w:tcPr>
            <w:tcW w:type="dxa" w:w="1440"/>
          </w:tcPr>
          <w:p>
            <w:r>
              <w:rPr>
                <w:rFonts w:ascii="Calibri" w:hAnsi="Calibri"/>
                <w:sz w:val="22"/>
              </w:rPr>
              <w:t>230</w:t>
            </w:r>
          </w:p>
        </w:tc>
        <w:tc>
          <w:tcPr>
            <w:tcW w:type="dxa" w:w="1440"/>
          </w:tcPr>
          <w:p>
            <w:r>
              <w:rPr>
                <w:rFonts w:ascii="Calibri" w:hAnsi="Calibri"/>
                <w:sz w:val="22"/>
              </w:rPr>
              <w:t>Jun 4, 2026</w:t>
            </w:r>
          </w:p>
        </w:tc>
        <w:tc>
          <w:tcPr>
            <w:tcW w:type="dxa" w:w="1440"/>
          </w:tcPr>
          <w:p>
            <w:r>
              <w:rPr>
                <w:rFonts w:ascii="Calibri" w:hAnsi="Calibri"/>
                <w:sz w:val="22"/>
              </w:rPr>
              <w:t>Annual director equity compensation grant; routine.</w:t>
            </w:r>
          </w:p>
        </w:tc>
      </w:tr>
      <w:tr>
        <w:tc>
          <w:tcPr>
            <w:tcW w:type="dxa" w:w="1440"/>
          </w:tcPr>
          <w:p>
            <w:r>
              <w:rPr>
                <w:rFonts w:ascii="Calibri" w:hAnsi="Calibri"/>
                <w:sz w:val="22"/>
              </w:rPr>
              <w:t>Reid, William P.</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2,000</w:t>
            </w:r>
          </w:p>
        </w:tc>
        <w:tc>
          <w:tcPr>
            <w:tcW w:type="dxa" w:w="1440"/>
          </w:tcPr>
          <w:p>
            <w:r>
              <w:rPr>
                <w:rFonts w:ascii="Calibri" w:hAnsi="Calibri"/>
                <w:sz w:val="22"/>
              </w:rPr>
              <w:t>May 11, 2026</w:t>
            </w:r>
          </w:p>
        </w:tc>
        <w:tc>
          <w:tcPr>
            <w:tcW w:type="dxa" w:w="1440"/>
          </w:tcPr>
          <w:p>
            <w:r>
              <w:rPr>
                <w:rFonts w:ascii="Calibri" w:hAnsi="Calibri"/>
                <w:sz w:val="22"/>
              </w:rPr>
              <w:t>Discretionary sale; no 10b5-1 plan indicated.</w:t>
            </w:r>
          </w:p>
        </w:tc>
      </w:tr>
      <w:tr>
        <w:tc>
          <w:tcPr>
            <w:tcW w:type="dxa" w:w="1440"/>
          </w:tcPr>
          <w:p>
            <w:r>
              <w:rPr>
                <w:rFonts w:ascii="Calibri" w:hAnsi="Calibri"/>
                <w:sz w:val="22"/>
              </w:rPr>
              <w:t>Altmeyer, John W.</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2,500</w:t>
            </w:r>
          </w:p>
        </w:tc>
        <w:tc>
          <w:tcPr>
            <w:tcW w:type="dxa" w:w="1440"/>
          </w:tcPr>
          <w:p>
            <w:r>
              <w:rPr>
                <w:rFonts w:ascii="Calibri" w:hAnsi="Calibri"/>
                <w:sz w:val="22"/>
              </w:rPr>
              <w:t>May 1, 2026</w:t>
            </w:r>
          </w:p>
        </w:tc>
        <w:tc>
          <w:tcPr>
            <w:tcW w:type="dxa" w:w="1440"/>
          </w:tcPr>
          <w:p>
            <w:r>
              <w:rPr>
                <w:rFonts w:ascii="Calibri" w:hAnsi="Calibri"/>
                <w:sz w:val="22"/>
              </w:rPr>
              <w:t>Discretionary sale shortly after Q1 earnings; stock was near post-earnings high (~$910).</w:t>
            </w:r>
          </w:p>
        </w:tc>
      </w:tr>
      <w:tr>
        <w:tc>
          <w:tcPr>
            <w:tcW w:type="dxa" w:w="1440"/>
          </w:tcPr>
          <w:p>
            <w:r>
              <w:rPr>
                <w:rFonts w:ascii="Calibri" w:hAnsi="Calibri"/>
                <w:sz w:val="22"/>
              </w:rPr>
              <w:t>Guzzi, Anthony</w:t>
            </w:r>
          </w:p>
        </w:tc>
        <w:tc>
          <w:tcPr>
            <w:tcW w:type="dxa" w:w="1440"/>
          </w:tcPr>
          <w:p>
            <w:r>
              <w:rPr>
                <w:rFonts w:ascii="Calibri" w:hAnsi="Calibri"/>
                <w:sz w:val="22"/>
              </w:rPr>
              <w:t>Chairman, President &amp; CEO</w:t>
            </w:r>
          </w:p>
        </w:tc>
        <w:tc>
          <w:tcPr>
            <w:tcW w:type="dxa" w:w="1440"/>
          </w:tcPr>
          <w:p>
            <w:r>
              <w:rPr>
                <w:rFonts w:ascii="Calibri" w:hAnsi="Calibri"/>
                <w:sz w:val="22"/>
              </w:rPr>
              <w:t>Gift (G) — Not a Sale</w:t>
            </w:r>
          </w:p>
        </w:tc>
        <w:tc>
          <w:tcPr>
            <w:tcW w:type="dxa" w:w="1440"/>
          </w:tcPr>
          <w:p>
            <w:r>
              <w:rPr>
                <w:rFonts w:ascii="Calibri" w:hAnsi="Calibri"/>
                <w:sz w:val="22"/>
              </w:rPr>
              <w:t>3,000</w:t>
            </w:r>
          </w:p>
        </w:tc>
        <w:tc>
          <w:tcPr>
            <w:tcW w:type="dxa" w:w="1440"/>
          </w:tcPr>
          <w:p>
            <w:r>
              <w:rPr>
                <w:rFonts w:ascii="Calibri" w:hAnsi="Calibri"/>
                <w:sz w:val="22"/>
              </w:rPr>
              <w:t>Apr 30, 2026</w:t>
            </w:r>
          </w:p>
        </w:tc>
        <w:tc>
          <w:tcPr>
            <w:tcW w:type="dxa" w:w="1440"/>
          </w:tcPr>
          <w:p>
            <w:r>
              <w:rPr>
                <w:rFonts w:ascii="Calibri" w:hAnsi="Calibri"/>
                <w:sz w:val="22"/>
              </w:rPr>
              <w:t>Charitable or family gift; not an open-market sale. CEO retains 167,312 shares.</w:t>
            </w:r>
          </w:p>
        </w:tc>
      </w:tr>
      <w:tr>
        <w:tc>
          <w:tcPr>
            <w:tcW w:type="dxa" w:w="1440"/>
          </w:tcPr>
          <w:p>
            <w:r>
              <w:rPr>
                <w:rFonts w:ascii="Calibri" w:hAnsi="Calibri"/>
                <w:sz w:val="22"/>
              </w:rPr>
              <w:t>Lind, Robert Peter</w:t>
            </w:r>
          </w:p>
        </w:tc>
        <w:tc>
          <w:tcPr>
            <w:tcW w:type="dxa" w:w="1440"/>
          </w:tcPr>
          <w:p>
            <w:r>
              <w:rPr>
                <w:rFonts w:ascii="Calibri" w:hAnsi="Calibri"/>
                <w:sz w:val="22"/>
              </w:rPr>
              <w:t>VP &amp; Controller</w:t>
            </w:r>
          </w:p>
        </w:tc>
        <w:tc>
          <w:tcPr>
            <w:tcW w:type="dxa" w:w="1440"/>
          </w:tcPr>
          <w:p>
            <w:r>
              <w:rPr>
                <w:rFonts w:ascii="Calibri" w:hAnsi="Calibri"/>
                <w:sz w:val="22"/>
              </w:rPr>
              <w:t>Open Market Sale</w:t>
            </w:r>
          </w:p>
        </w:tc>
        <w:tc>
          <w:tcPr>
            <w:tcW w:type="dxa" w:w="1440"/>
          </w:tcPr>
          <w:p>
            <w:r>
              <w:rPr>
                <w:rFonts w:ascii="Calibri" w:hAnsi="Calibri"/>
                <w:sz w:val="22"/>
              </w:rPr>
              <w:t>675</w:t>
            </w:r>
          </w:p>
        </w:tc>
        <w:tc>
          <w:tcPr>
            <w:tcW w:type="dxa" w:w="1440"/>
          </w:tcPr>
          <w:p>
            <w:r>
              <w:rPr>
                <w:rFonts w:ascii="Calibri" w:hAnsi="Calibri"/>
                <w:sz w:val="22"/>
              </w:rPr>
              <w:t>Apr 30, 2026</w:t>
            </w:r>
          </w:p>
        </w:tc>
        <w:tc>
          <w:tcPr>
            <w:tcW w:type="dxa" w:w="1440"/>
          </w:tcPr>
          <w:p>
            <w:r>
              <w:rPr>
                <w:rFonts w:ascii="Calibri" w:hAnsi="Calibri"/>
                <w:sz w:val="22"/>
              </w:rPr>
              <w:t>Post-earnings sale; likely tax-related or routine.</w:t>
            </w:r>
          </w:p>
        </w:tc>
      </w:tr>
      <w:tr>
        <w:tc>
          <w:tcPr>
            <w:tcW w:type="dxa" w:w="1440"/>
          </w:tcPr>
          <w:p>
            <w:r>
              <w:rPr>
                <w:rFonts w:ascii="Calibri" w:hAnsi="Calibri"/>
                <w:sz w:val="22"/>
              </w:rPr>
              <w:t>Nalbandian, Jason R.</w:t>
            </w:r>
          </w:p>
        </w:tc>
        <w:tc>
          <w:tcPr>
            <w:tcW w:type="dxa" w:w="1440"/>
          </w:tcPr>
          <w:p>
            <w:r>
              <w:rPr>
                <w:rFonts w:ascii="Calibri" w:hAnsi="Calibri"/>
                <w:sz w:val="22"/>
              </w:rPr>
              <w:t>SVP, CFO &amp; Chief Acct. Officer</w:t>
            </w:r>
          </w:p>
        </w:tc>
        <w:tc>
          <w:tcPr>
            <w:tcW w:type="dxa" w:w="1440"/>
          </w:tcPr>
          <w:p>
            <w:r>
              <w:rPr>
                <w:rFonts w:ascii="Calibri" w:hAnsi="Calibri"/>
                <w:sz w:val="22"/>
              </w:rPr>
              <w:t>Open Market Sale</w:t>
            </w:r>
          </w:p>
        </w:tc>
        <w:tc>
          <w:tcPr>
            <w:tcW w:type="dxa" w:w="1440"/>
          </w:tcPr>
          <w:p>
            <w:r>
              <w:rPr>
                <w:rFonts w:ascii="Calibri" w:hAnsi="Calibri"/>
                <w:sz w:val="22"/>
              </w:rPr>
              <w:t>800</w:t>
            </w:r>
          </w:p>
        </w:tc>
        <w:tc>
          <w:tcPr>
            <w:tcW w:type="dxa" w:w="1440"/>
          </w:tcPr>
          <w:p>
            <w:r>
              <w:rPr>
                <w:rFonts w:ascii="Calibri" w:hAnsi="Calibri"/>
                <w:sz w:val="22"/>
              </w:rPr>
              <w:t>Apr 30, 2026</w:t>
            </w:r>
          </w:p>
        </w:tc>
        <w:tc>
          <w:tcPr>
            <w:tcW w:type="dxa" w:w="1440"/>
          </w:tcPr>
          <w:p>
            <w:r>
              <w:rPr>
                <w:rFonts w:ascii="Calibri" w:hAnsi="Calibri"/>
                <w:sz w:val="22"/>
              </w:rPr>
              <w:t>Post-earnings sale by CFO; modest size relative to holdings (18,157 shares remaining).</w:t>
            </w:r>
          </w:p>
        </w:tc>
      </w:tr>
      <w:tr>
        <w:tc>
          <w:tcPr>
            <w:tcW w:type="dxa" w:w="1440"/>
          </w:tcPr>
          <w:p>
            <w:r>
              <w:rPr>
                <w:rFonts w:ascii="Calibri" w:hAnsi="Calibri"/>
                <w:sz w:val="22"/>
              </w:rPr>
              <w:t>Schwarzwaelder, Steven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5,602</w:t>
            </w:r>
          </w:p>
        </w:tc>
        <w:tc>
          <w:tcPr>
            <w:tcW w:type="dxa" w:w="1440"/>
          </w:tcPr>
          <w:p>
            <w:r>
              <w:rPr>
                <w:rFonts w:ascii="Calibri" w:hAnsi="Calibri"/>
                <w:sz w:val="22"/>
              </w:rPr>
              <w:t>Apr 30, 2026</w:t>
            </w:r>
          </w:p>
        </w:tc>
        <w:tc>
          <w:tcPr>
            <w:tcW w:type="dxa" w:w="1440"/>
          </w:tcPr>
          <w:p>
            <w:r>
              <w:rPr>
                <w:rFonts w:ascii="Calibri" w:hAnsi="Calibri"/>
                <w:sz w:val="22"/>
              </w:rPr>
              <w:t>Largest single sale in the period; discretionary. Director retains 15,875 shares.</w:t>
            </w:r>
          </w:p>
        </w:tc>
      </w:tr>
    </w:tbl>
    <w:p>
      <w:r>
        <w:rPr>
          <w:rFonts w:ascii="Calibri" w:hAnsi="Calibri"/>
          <w:color w:val="525866"/>
          <w:sz w:val="22"/>
        </w:rPr>
        <w:t>Source: SEC Form 4 filings. Open-market buys (code P) and sells (code S) only, plus gifts (code G) and compensation awards (code A) for context. No 10b5-1 plan initiations were disclosed in the period. The June 4 awards are routine annual director equity compensation grants and carry no informational signal. The most notable discretionary sales were Director Schwarzwaelder (5,602 shares, Apr 30) and Director Altmeyer (2,500 shares, May 1), both executed near the post-Q1 stock peak (~$910–$933). No open-market purchases were made by any insider during the period.</w:t>
      </w:r>
    </w:p>
    <w:p>
      <w:r>
        <w:rPr>
          <w:rFonts w:ascii="Calibri" w:hAnsi="Calibri"/>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