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EMCOR Group (EME)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EMCOR Group, Inc.</w:t>
            </w:r>
          </w:p>
        </w:tc>
      </w:tr>
      <w:tr>
        <w:tc>
          <w:tcPr>
            <w:tcW w:type="dxa" w:w="4320"/>
          </w:tcPr>
          <w:p>
            <w:r>
              <w:rPr>
                <w:rFonts w:ascii="Calibri" w:hAnsi="Calibri"/>
                <w:b/>
                <w:sz w:val="22"/>
              </w:rPr>
              <w:t>Ticker</w:t>
            </w:r>
          </w:p>
        </w:tc>
        <w:tc>
          <w:tcPr>
            <w:tcW w:type="dxa" w:w="4320"/>
          </w:tcPr>
          <w:p>
            <w:r>
              <w:rPr>
                <w:rFonts w:ascii="Calibri" w:hAnsi="Calibri"/>
                <w:sz w:val="22"/>
              </w:rPr>
              <w:t>EME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30, 2026 — 10:30 AM ET</w:t>
            </w:r>
          </w:p>
        </w:tc>
      </w:tr>
      <w:tr>
        <w:tc>
          <w:tcPr>
            <w:tcW w:type="dxa" w:w="4320"/>
          </w:tcPr>
          <w:p>
            <w:r>
              <w:rPr>
                <w:rFonts w:ascii="Calibri" w:hAnsi="Calibri"/>
                <w:b/>
                <w:sz w:val="22"/>
              </w:rPr>
              <w:t>Prepared</w:t>
            </w:r>
          </w:p>
        </w:tc>
        <w:tc>
          <w:tcPr>
            <w:tcW w:type="dxa" w:w="4320"/>
          </w:tcPr>
          <w:p>
            <w:r>
              <w:rPr>
                <w:rFonts w:ascii="Calibri" w:hAnsi="Calibri"/>
                <w:sz w:val="22"/>
              </w:rPr>
              <w:t>July 29, 2026</w:t>
            </w:r>
          </w:p>
        </w:tc>
      </w:tr>
      <w:tr>
        <w:tc>
          <w:tcPr>
            <w:tcW w:type="dxa" w:w="4320"/>
          </w:tcPr>
          <w:p>
            <w:r>
              <w:rPr>
                <w:rFonts w:ascii="Calibri" w:hAnsi="Calibri"/>
                <w:b/>
                <w:sz w:val="22"/>
              </w:rPr>
              <w:t>Last Earnings</w:t>
            </w:r>
          </w:p>
        </w:tc>
        <w:tc>
          <w:tcPr>
            <w:tcW w:type="dxa" w:w="4320"/>
          </w:tcPr>
          <w:p>
            <w:r>
              <w:rPr>
                <w:rFonts w:ascii="Calibri" w:hAnsi="Calibri"/>
                <w:sz w:val="22"/>
              </w:rPr>
              <w:t>April 29, 2026 (Q1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Setup is mixed — the fundamental demand story remains intact and consensus is not a high bar in absolute terms, but the stock has de-rated sharply since Q1 earnings, suggesting the market is pricing in execution risk around the mechanical margin mix-shift and project mobilization pace rather than a revenue miss.</w:t>
      </w:r>
    </w:p>
    <w:p>
      <w:r>
        <w:rPr>
          <w:rFonts w:ascii="Calibri" w:hAnsi="Calibri"/>
          <w:color w:val="525866"/>
          <w:sz w:val="22"/>
        </w:rPr>
        <w:t xml:space="preserve">Heading into Q2 2026, EMCOR's bar is manageable: consensus revenue of </w:t>
      </w:r>
      <w:r>
        <w:rPr>
          <w:rFonts w:ascii="Calibri" w:hAnsi="Calibri"/>
          <w:b/>
          <w:color w:val="525866"/>
          <w:sz w:val="22"/>
        </w:rPr>
        <w:t>$4.71B (+9.5% YoY)</w:t>
      </w:r>
      <w:r>
        <w:rPr>
          <w:rFonts w:ascii="Calibri" w:hAnsi="Calibri"/>
          <w:color w:val="525866"/>
          <w:sz w:val="22"/>
        </w:rPr>
        <w:t xml:space="preserve"> and operating EPS of </w:t>
      </w:r>
      <w:r>
        <w:rPr>
          <w:rFonts w:ascii="Calibri" w:hAnsi="Calibri"/>
          <w:b/>
          <w:color w:val="525866"/>
          <w:sz w:val="22"/>
        </w:rPr>
        <w:t>$7.27</w:t>
      </w:r>
      <w:r>
        <w:rPr>
          <w:rFonts w:ascii="Calibri" w:hAnsi="Calibri"/>
          <w:color w:val="525866"/>
          <w:sz w:val="22"/>
        </w:rPr>
        <w:t xml:space="preserve"> sit modestly above the prior-year period but well within the trajectory implied by the raised full-year guidance range of $18.5B–$19.25B revenue and $28.25–$29.75 EPS issued on April 29. Management's tone at the June 2 William Blair conference was confident — they noted they "surprised ourselves on the revenue side" in Q1 and updated organic growth guidance to 9%–13% for the full year — suggesting the guidance bar is achievable and the tone has not deteriorated post-Q1. Estimate revisions have been essentially flat since the post-Q1 baseline (2Q revenue up ~$15M, EPS up ~$0.02 from the May 8 baseline), indicating the Street has largely digested the raised guidance without adding incremental cushion. The stock, however, has been a significant underperformer: EME is down roughly </w:t>
      </w:r>
      <w:r>
        <w:rPr>
          <w:rFonts w:ascii="Calibri" w:hAnsi="Calibri"/>
          <w:b/>
          <w:color w:val="525866"/>
          <w:sz w:val="22"/>
        </w:rPr>
        <w:t>19% since Q1 earnings</w:t>
      </w:r>
      <w:r>
        <w:rPr>
          <w:rFonts w:ascii="Calibri" w:hAnsi="Calibri"/>
          <w:color w:val="525866"/>
          <w:sz w:val="22"/>
        </w:rPr>
        <w:t xml:space="preserve"> versus XLI roughly flat and S&amp;P 500 up ~2.5%, driven almost entirely by multiple compression (NTM P/E contracted from ~30x to ~22x over three months) rather than estimate cuts — a setup that could mean a clean print re-rates the stock, but also that the market needs more than just a beat to rebuild conviction. The single biggest wildcard is </w:t>
      </w:r>
      <w:r>
        <w:rPr>
          <w:rFonts w:ascii="Calibri" w:hAnsi="Calibri"/>
          <w:b/>
          <w:color w:val="525866"/>
          <w:sz w:val="22"/>
        </w:rPr>
        <w:t>mechanical segment operating margin</w:t>
      </w:r>
      <w:r>
        <w:rPr>
          <w:rFonts w:ascii="Calibri" w:hAnsi="Calibri"/>
          <w:color w:val="525866"/>
          <w:sz w:val="22"/>
        </w:rPr>
        <w:t>: the Q1 step-down to 10.9% (from 11.9% a year ago) due to GMP/cost-plus mix in AI data center geographies was flagged as anticipated, but any further deterioration or management commentary suggesting the mix shift is accelerating could weigh on the stock even if headline numbers beat.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sets a manageable bar on revenue (+9.5% YoY) and EPS (+8.2% YoY), but the bigger swing factor is </w:t>
      </w:r>
      <w:r>
        <w:rPr>
          <w:rFonts w:ascii="Calibri" w:hAnsi="Calibri"/>
          <w:b/>
          <w:color w:val="525866"/>
          <w:sz w:val="22"/>
        </w:rPr>
        <w:t>operating margin</w:t>
      </w:r>
      <w:r>
        <w:rPr>
          <w:rFonts w:ascii="Calibri" w:hAnsi="Calibri"/>
          <w:color w:val="525866"/>
          <w:sz w:val="22"/>
        </w:rPr>
        <w:t xml:space="preserve"> — any recovery in mechanical segment margins from Q1’s 10.9% trough would be the positive catalyst, while further deterioration is the key downside risk.</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w:t>
            </w:r>
          </w:p>
        </w:tc>
      </w:tr>
      <w:tr>
        <w:tc>
          <w:tcPr>
            <w:tcW w:type="dxa" w:w="1234"/>
          </w:tcPr>
          <w:p>
            <w:r>
              <w:rPr>
                <w:rFonts w:ascii="Calibri" w:hAnsi="Calibri"/>
                <w:sz w:val="22"/>
              </w:rPr>
              <w:t>Revenue ($B)</w:t>
            </w:r>
          </w:p>
        </w:tc>
        <w:tc>
          <w:tcPr>
            <w:tcW w:type="dxa" w:w="1234"/>
          </w:tcPr>
          <w:p>
            <w:r>
              <w:rPr>
                <w:rFonts w:ascii="Calibri" w:hAnsi="Calibri"/>
                <w:sz w:val="22"/>
              </w:rPr>
              <w:t>$4.628B</w:t>
            </w:r>
          </w:p>
        </w:tc>
        <w:tc>
          <w:tcPr>
            <w:tcW w:type="dxa" w:w="1234"/>
          </w:tcPr>
          <w:p>
            <w:r>
              <w:rPr>
                <w:rFonts w:ascii="Calibri" w:hAnsi="Calibri"/>
                <w:sz w:val="22"/>
              </w:rPr>
              <w:t>$4.304B</w:t>
            </w:r>
          </w:p>
        </w:tc>
        <w:tc>
          <w:tcPr>
            <w:tcW w:type="dxa" w:w="1234"/>
          </w:tcPr>
          <w:p>
            <w:r>
              <w:rPr>
                <w:rFonts w:ascii="Calibri" w:hAnsi="Calibri"/>
                <w:sz w:val="22"/>
              </w:rPr>
              <w:t>$4.712B</w:t>
            </w:r>
          </w:p>
        </w:tc>
        <w:tc>
          <w:tcPr>
            <w:tcW w:type="dxa" w:w="1234"/>
          </w:tcPr>
          <w:p>
            <w:r>
              <w:rPr>
                <w:rFonts w:ascii="Calibri" w:hAnsi="Calibri"/>
                <w:sz w:val="22"/>
              </w:rPr>
              <w:t>+9.5%</w:t>
            </w:r>
          </w:p>
        </w:tc>
        <w:tc>
          <w:tcPr>
            <w:tcW w:type="dxa" w:w="1234"/>
          </w:tcPr>
          <w:p>
            <w:r>
              <w:rPr>
                <w:rFonts w:ascii="Calibri" w:hAnsi="Calibri"/>
                <w:sz w:val="22"/>
              </w:rPr>
              <w:t>$18.5B–$19.25B</w:t>
            </w:r>
          </w:p>
        </w:tc>
        <w:tc>
          <w:tcPr>
            <w:tcW w:type="dxa" w:w="1234"/>
          </w:tcPr>
          <w:p>
            <w:r>
              <w:rPr>
                <w:rFonts w:ascii="Calibri" w:hAnsi="Calibri"/>
                <w:sz w:val="22"/>
              </w:rPr>
              <w:t>~+2.5% vs. mid ($18.875B)</w:t>
            </w:r>
          </w:p>
        </w:tc>
      </w:tr>
      <w:tr>
        <w:tc>
          <w:tcPr>
            <w:tcW w:type="dxa" w:w="1234"/>
          </w:tcPr>
          <w:p>
            <w:r>
              <w:rPr>
                <w:rFonts w:ascii="Calibri" w:hAnsi="Calibri"/>
                <w:sz w:val="22"/>
              </w:rPr>
              <w:t>Adj. EPS (Diluted, Cont.)</w:t>
            </w:r>
          </w:p>
        </w:tc>
        <w:tc>
          <w:tcPr>
            <w:tcW w:type="dxa" w:w="1234"/>
          </w:tcPr>
          <w:p>
            <w:r>
              <w:rPr>
                <w:rFonts w:ascii="Calibri" w:hAnsi="Calibri"/>
                <w:sz w:val="22"/>
              </w:rPr>
              <w:t>$6.84</w:t>
            </w:r>
          </w:p>
        </w:tc>
        <w:tc>
          <w:tcPr>
            <w:tcW w:type="dxa" w:w="1234"/>
          </w:tcPr>
          <w:p>
            <w:r>
              <w:rPr>
                <w:rFonts w:ascii="Calibri" w:hAnsi="Calibri"/>
                <w:sz w:val="22"/>
              </w:rPr>
              <w:t>$6.72</w:t>
            </w:r>
          </w:p>
        </w:tc>
        <w:tc>
          <w:tcPr>
            <w:tcW w:type="dxa" w:w="1234"/>
          </w:tcPr>
          <w:p>
            <w:r>
              <w:rPr>
                <w:rFonts w:ascii="Calibri" w:hAnsi="Calibri"/>
                <w:sz w:val="22"/>
              </w:rPr>
              <w:t>$7.27</w:t>
            </w:r>
          </w:p>
        </w:tc>
        <w:tc>
          <w:tcPr>
            <w:tcW w:type="dxa" w:w="1234"/>
          </w:tcPr>
          <w:p>
            <w:r>
              <w:rPr>
                <w:rFonts w:ascii="Calibri" w:hAnsi="Calibri"/>
                <w:sz w:val="22"/>
              </w:rPr>
              <w:t>+8.2%</w:t>
            </w:r>
          </w:p>
        </w:tc>
        <w:tc>
          <w:tcPr>
            <w:tcW w:type="dxa" w:w="1234"/>
          </w:tcPr>
          <w:p>
            <w:r>
              <w:rPr>
                <w:rFonts w:ascii="Calibri" w:hAnsi="Calibri"/>
                <w:sz w:val="22"/>
              </w:rPr>
              <w:t>$28.25–$29.75</w:t>
            </w:r>
          </w:p>
        </w:tc>
        <w:tc>
          <w:tcPr>
            <w:tcW w:type="dxa" w:w="1234"/>
          </w:tcPr>
          <w:p>
            <w:r>
              <w:rPr>
                <w:rFonts w:ascii="Calibri" w:hAnsi="Calibri"/>
                <w:sz w:val="22"/>
              </w:rPr>
              <w:t>~+0.5% vs. mid ($29.00)</w:t>
            </w:r>
          </w:p>
        </w:tc>
      </w:tr>
      <w:tr>
        <w:tc>
          <w:tcPr>
            <w:tcW w:type="dxa" w:w="1234"/>
          </w:tcPr>
          <w:p>
            <w:r>
              <w:rPr>
                <w:rFonts w:ascii="Calibri" w:hAnsi="Calibri"/>
                <w:sz w:val="22"/>
              </w:rPr>
              <w:t>Operating Margin (Adj., %)</w:t>
            </w:r>
          </w:p>
        </w:tc>
        <w:tc>
          <w:tcPr>
            <w:tcW w:type="dxa" w:w="1234"/>
          </w:tcPr>
          <w:p>
            <w:r>
              <w:rPr>
                <w:rFonts w:ascii="Calibri" w:hAnsi="Calibri"/>
                <w:sz w:val="22"/>
              </w:rPr>
              <w:t>8.73%</w:t>
            </w:r>
          </w:p>
        </w:tc>
        <w:tc>
          <w:tcPr>
            <w:tcW w:type="dxa" w:w="1234"/>
          </w:tcPr>
          <w:p>
            <w:r>
              <w:rPr>
                <w:rFonts w:ascii="Calibri" w:hAnsi="Calibri"/>
                <w:sz w:val="22"/>
              </w:rPr>
              <w:t>9.65%</w:t>
            </w:r>
          </w:p>
        </w:tc>
        <w:tc>
          <w:tcPr>
            <w:tcW w:type="dxa" w:w="1234"/>
          </w:tcPr>
          <w:p>
            <w:r>
              <w:rPr>
                <w:rFonts w:ascii="Calibri" w:hAnsi="Calibri"/>
                <w:sz w:val="22"/>
              </w:rPr>
              <w:t>9.29%</w:t>
            </w:r>
          </w:p>
        </w:tc>
        <w:tc>
          <w:tcPr>
            <w:tcW w:type="dxa" w:w="1234"/>
          </w:tcPr>
          <w:p>
            <w:r>
              <w:rPr>
                <w:rFonts w:ascii="Calibri" w:hAnsi="Calibri"/>
                <w:sz w:val="22"/>
              </w:rPr>
              <w:t>-36 bps YoY</w:t>
            </w:r>
          </w:p>
        </w:tc>
        <w:tc>
          <w:tcPr>
            <w:tcW w:type="dxa" w:w="1234"/>
          </w:tcPr>
          <w:p>
            <w:r>
              <w:rPr>
                <w:rFonts w:ascii="Calibri" w:hAnsi="Calibri"/>
                <w:sz w:val="22"/>
              </w:rPr>
              <w:t>"Continued strong margins" (no specific Q2 guide)</w:t>
            </w:r>
          </w:p>
        </w:tc>
        <w:tc>
          <w:tcPr>
            <w:tcW w:type="dxa" w:w="1234"/>
          </w:tcPr>
          <w:p>
            <w:r>
              <w:rPr>
                <w:rFonts w:ascii="Calibri" w:hAnsi="Calibri"/>
                <w:sz w:val="22"/>
              </w:rPr>
              <w:t>N/A — no Q2-specific guidance</w:t>
            </w:r>
          </w:p>
        </w:tc>
      </w:tr>
      <w:tr>
        <w:tc>
          <w:tcPr>
            <w:tcW w:type="dxa" w:w="1234"/>
          </w:tcPr>
          <w:p>
            <w:r>
              <w:rPr>
                <w:rFonts w:ascii="Calibri" w:hAnsi="Calibri"/>
                <w:sz w:val="22"/>
              </w:rPr>
              <w:t>Adj. EBITDA ($M)</w:t>
            </w:r>
          </w:p>
        </w:tc>
        <w:tc>
          <w:tcPr>
            <w:tcW w:type="dxa" w:w="1234"/>
          </w:tcPr>
          <w:p>
            <w:r>
              <w:rPr>
                <w:rFonts w:ascii="Calibri" w:hAnsi="Calibri"/>
                <w:sz w:val="22"/>
              </w:rPr>
              <w:t>$456M</w:t>
            </w:r>
          </w:p>
        </w:tc>
        <w:tc>
          <w:tcPr>
            <w:tcW w:type="dxa" w:w="1234"/>
          </w:tcPr>
          <w:p>
            <w:r>
              <w:rPr>
                <w:rFonts w:ascii="Calibri" w:hAnsi="Calibri"/>
                <w:sz w:val="22"/>
              </w:rPr>
              <w:t>$462M</w:t>
            </w:r>
          </w:p>
        </w:tc>
        <w:tc>
          <w:tcPr>
            <w:tcW w:type="dxa" w:w="1234"/>
          </w:tcPr>
          <w:p>
            <w:r>
              <w:rPr>
                <w:rFonts w:ascii="Calibri" w:hAnsi="Calibri"/>
                <w:sz w:val="22"/>
              </w:rPr>
              <w:t>$487M</w:t>
            </w:r>
          </w:p>
        </w:tc>
        <w:tc>
          <w:tcPr>
            <w:tcW w:type="dxa" w:w="1234"/>
          </w:tcPr>
          <w:p>
            <w:r>
              <w:rPr>
                <w:rFonts w:ascii="Calibri" w:hAnsi="Calibri"/>
                <w:sz w:val="22"/>
              </w:rPr>
              <w:t>+5.4%</w:t>
            </w:r>
          </w:p>
        </w:tc>
        <w:tc>
          <w:tcPr>
            <w:tcW w:type="dxa" w:w="1234"/>
          </w:tcPr>
          <w:p>
            <w:r>
              <w:rPr>
                <w:rFonts w:ascii="Calibri" w:hAnsi="Calibri"/>
                <w:sz w:val="22"/>
              </w:rPr>
              <w:t>N/A — not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 All consensus figures as of July 29, 2026. Q1 2026 actuals are the most recently reported quarter. Q2 2025 actuals represent the prior-year comparable period.</w:t>
      </w:r>
    </w:p>
    <w:p>
      <w:pPr>
        <w:pStyle w:val="Heading2"/>
      </w:pPr>
      <w:r>
        <w:rPr>
          <w:rFonts w:ascii="Calibri" w:hAnsi="Calibri"/>
          <w:b/>
          <w:color w:val="3B4259"/>
          <w:sz w:val="28"/>
        </w:rPr>
        <w:t>Table 2 — Beat/Miss History (Last 8 Quarters)</w:t>
      </w:r>
    </w:p>
    <w:p>
      <w:r>
        <w:rPr>
          <w:rFonts w:ascii="Calibri" w:hAnsi="Calibri"/>
          <w:b/>
          <w:color w:val="525866"/>
          <w:sz w:val="22"/>
        </w:rPr>
        <w:t>Top 2 KPIs: Revenue and Adjusted EPS (Diluted, Continuing Operations)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$4.628B</w:t>
            </w:r>
          </w:p>
        </w:tc>
        <w:tc>
          <w:tcPr>
            <w:tcW w:type="dxa" w:w="1440"/>
          </w:tcPr>
          <w:p>
            <w:r>
              <w:rPr>
                <w:rFonts w:ascii="Calibri" w:hAnsi="Calibri"/>
                <w:sz w:val="22"/>
              </w:rPr>
              <w:t>$4.197B</w:t>
            </w:r>
          </w:p>
        </w:tc>
        <w:tc>
          <w:tcPr>
            <w:tcW w:type="dxa" w:w="1440"/>
          </w:tcPr>
          <w:p>
            <w:r>
              <w:rPr>
                <w:rFonts w:ascii="Calibri" w:hAnsi="Calibri"/>
                <w:b/>
                <w:color w:val="30A46C"/>
                <w:sz w:val="22"/>
              </w:rPr>
              <w:t>+10.3%</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$6.84</w:t>
            </w:r>
          </w:p>
        </w:tc>
        <w:tc>
          <w:tcPr>
            <w:tcW w:type="dxa" w:w="1440"/>
          </w:tcPr>
          <w:p>
            <w:r>
              <w:rPr>
                <w:rFonts w:ascii="Calibri" w:hAnsi="Calibri"/>
                <w:sz w:val="22"/>
              </w:rPr>
              <w:t>$5.91</w:t>
            </w:r>
          </w:p>
        </w:tc>
        <w:tc>
          <w:tcPr>
            <w:tcW w:type="dxa" w:w="1440"/>
          </w:tcPr>
          <w:p>
            <w:r>
              <w:rPr>
                <w:rFonts w:ascii="Calibri" w:hAnsi="Calibri"/>
                <w:b/>
                <w:color w:val="30A46C"/>
                <w:sz w:val="22"/>
              </w:rPr>
              <w:t>+15.7%</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$4.513B</w:t>
            </w:r>
          </w:p>
        </w:tc>
        <w:tc>
          <w:tcPr>
            <w:tcW w:type="dxa" w:w="1440"/>
          </w:tcPr>
          <w:p>
            <w:r>
              <w:rPr>
                <w:rFonts w:ascii="Calibri" w:hAnsi="Calibri"/>
                <w:sz w:val="22"/>
              </w:rPr>
              <w:t>$4.288B</w:t>
            </w:r>
          </w:p>
        </w:tc>
        <w:tc>
          <w:tcPr>
            <w:tcW w:type="dxa" w:w="1440"/>
          </w:tcPr>
          <w:p>
            <w:r>
              <w:rPr>
                <w:rFonts w:ascii="Calibri" w:hAnsi="Calibri"/>
                <w:b/>
                <w:color w:val="30A46C"/>
                <w:sz w:val="22"/>
              </w:rPr>
              <w:t>+5.2%</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$7.19</w:t>
            </w:r>
          </w:p>
        </w:tc>
        <w:tc>
          <w:tcPr>
            <w:tcW w:type="dxa" w:w="1440"/>
          </w:tcPr>
          <w:p>
            <w:r>
              <w:rPr>
                <w:rFonts w:ascii="Calibri" w:hAnsi="Calibri"/>
                <w:sz w:val="22"/>
              </w:rPr>
              <w:t>$6.67</w:t>
            </w:r>
          </w:p>
        </w:tc>
        <w:tc>
          <w:tcPr>
            <w:tcW w:type="dxa" w:w="1440"/>
          </w:tcPr>
          <w:p>
            <w:r>
              <w:rPr>
                <w:rFonts w:ascii="Calibri" w:hAnsi="Calibri"/>
                <w:b/>
                <w:color w:val="30A46C"/>
                <w:sz w:val="22"/>
              </w:rPr>
              <w:t>+7.8%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$4.302B</w:t>
            </w:r>
          </w:p>
        </w:tc>
        <w:tc>
          <w:tcPr>
            <w:tcW w:type="dxa" w:w="1440"/>
          </w:tcPr>
          <w:p>
            <w:r>
              <w:rPr>
                <w:rFonts w:ascii="Calibri" w:hAnsi="Calibri"/>
                <w:sz w:val="22"/>
              </w:rPr>
              <w:t>$4.289B</w:t>
            </w:r>
          </w:p>
        </w:tc>
        <w:tc>
          <w:tcPr>
            <w:tcW w:type="dxa" w:w="1440"/>
          </w:tcPr>
          <w:p>
            <w:r>
              <w:rPr>
                <w:rFonts w:ascii="Calibri" w:hAnsi="Calibri"/>
                <w:sz w:val="22"/>
              </w:rPr>
              <w:t>+0.3%</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$6.57</w:t>
            </w:r>
          </w:p>
        </w:tc>
        <w:tc>
          <w:tcPr>
            <w:tcW w:type="dxa" w:w="1440"/>
          </w:tcPr>
          <w:p>
            <w:r>
              <w:rPr>
                <w:rFonts w:ascii="Calibri" w:hAnsi="Calibri"/>
                <w:sz w:val="22"/>
              </w:rPr>
              <w:t>$6.51</w:t>
            </w:r>
          </w:p>
        </w:tc>
        <w:tc>
          <w:tcPr>
            <w:tcW w:type="dxa" w:w="1440"/>
          </w:tcPr>
          <w:p>
            <w:r>
              <w:rPr>
                <w:rFonts w:ascii="Calibri" w:hAnsi="Calibri"/>
                <w:sz w:val="22"/>
              </w:rPr>
              <w:t>+0.9%</w:t>
            </w:r>
          </w:p>
        </w:tc>
        <w:tc>
          <w:tcPr>
            <w:tcW w:type="dxa" w:w="1440"/>
          </w:tcPr>
          <w:p>
            <w:r>
              <w:rPr>
                <w:rFonts w:ascii="Calibri" w:hAnsi="Calibri"/>
                <w:sz w:val="22"/>
              </w:rPr>
              <w:t>In-Line</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$4.304B</w:t>
            </w:r>
          </w:p>
        </w:tc>
        <w:tc>
          <w:tcPr>
            <w:tcW w:type="dxa" w:w="1440"/>
          </w:tcPr>
          <w:p>
            <w:r>
              <w:rPr>
                <w:rFonts w:ascii="Calibri" w:hAnsi="Calibri"/>
                <w:sz w:val="22"/>
              </w:rPr>
              <w:t>$4.103B</w:t>
            </w:r>
          </w:p>
        </w:tc>
        <w:tc>
          <w:tcPr>
            <w:tcW w:type="dxa" w:w="1440"/>
          </w:tcPr>
          <w:p>
            <w:r>
              <w:rPr>
                <w:rFonts w:ascii="Calibri" w:hAnsi="Calibri"/>
                <w:b/>
                <w:color w:val="30A46C"/>
                <w:sz w:val="22"/>
              </w:rPr>
              <w:t>+4.9%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$6.72</w:t>
            </w:r>
          </w:p>
        </w:tc>
        <w:tc>
          <w:tcPr>
            <w:tcW w:type="dxa" w:w="1440"/>
          </w:tcPr>
          <w:p>
            <w:r>
              <w:rPr>
                <w:rFonts w:ascii="Calibri" w:hAnsi="Calibri"/>
                <w:sz w:val="22"/>
              </w:rPr>
              <w:t>$5.74</w:t>
            </w:r>
          </w:p>
        </w:tc>
        <w:tc>
          <w:tcPr>
            <w:tcW w:type="dxa" w:w="1440"/>
          </w:tcPr>
          <w:p>
            <w:r>
              <w:rPr>
                <w:rFonts w:ascii="Calibri" w:hAnsi="Calibri"/>
                <w:b/>
                <w:color w:val="30A46C"/>
                <w:sz w:val="22"/>
              </w:rPr>
              <w:t>+17.1%</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$3.867B</w:t>
            </w:r>
          </w:p>
        </w:tc>
        <w:tc>
          <w:tcPr>
            <w:tcW w:type="dxa" w:w="1440"/>
          </w:tcPr>
          <w:p>
            <w:r>
              <w:rPr>
                <w:rFonts w:ascii="Calibri" w:hAnsi="Calibri"/>
                <w:sz w:val="22"/>
              </w:rPr>
              <w:t>$3.784B</w:t>
            </w:r>
          </w:p>
        </w:tc>
        <w:tc>
          <w:tcPr>
            <w:tcW w:type="dxa" w:w="1440"/>
          </w:tcPr>
          <w:p>
            <w:r>
              <w:rPr>
                <w:rFonts w:ascii="Calibri" w:hAnsi="Calibri"/>
                <w:b/>
                <w:color w:val="30A46C"/>
                <w:sz w:val="22"/>
              </w:rPr>
              <w:t>+2.2%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$5.41</w:t>
            </w:r>
          </w:p>
        </w:tc>
        <w:tc>
          <w:tcPr>
            <w:tcW w:type="dxa" w:w="1440"/>
          </w:tcPr>
          <w:p>
            <w:r>
              <w:rPr>
                <w:rFonts w:ascii="Calibri" w:hAnsi="Calibri"/>
                <w:sz w:val="22"/>
              </w:rPr>
              <w:t>$4.62</w:t>
            </w:r>
          </w:p>
        </w:tc>
        <w:tc>
          <w:tcPr>
            <w:tcW w:type="dxa" w:w="1440"/>
          </w:tcPr>
          <w:p>
            <w:r>
              <w:rPr>
                <w:rFonts w:ascii="Calibri" w:hAnsi="Calibri"/>
                <w:b/>
                <w:color w:val="30A46C"/>
                <w:sz w:val="22"/>
              </w:rPr>
              <w:t>+17.0%</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$3.770B</w:t>
            </w:r>
          </w:p>
        </w:tc>
        <w:tc>
          <w:tcPr>
            <w:tcW w:type="dxa" w:w="1440"/>
          </w:tcPr>
          <w:p>
            <w:r>
              <w:rPr>
                <w:rFonts w:ascii="Calibri" w:hAnsi="Calibri"/>
                <w:sz w:val="22"/>
              </w:rPr>
              <w:t>$3.807B</w:t>
            </w:r>
          </w:p>
        </w:tc>
        <w:tc>
          <w:tcPr>
            <w:tcW w:type="dxa" w:w="1440"/>
          </w:tcPr>
          <w:p>
            <w:r>
              <w:rPr>
                <w:rFonts w:ascii="Calibri" w:hAnsi="Calibri"/>
                <w:b/>
                <w:color w:val="E5484D"/>
                <w:sz w:val="22"/>
              </w:rPr>
              <w:t>-1.0%</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$6.32</w:t>
            </w:r>
          </w:p>
        </w:tc>
        <w:tc>
          <w:tcPr>
            <w:tcW w:type="dxa" w:w="1440"/>
          </w:tcPr>
          <w:p>
            <w:r>
              <w:rPr>
                <w:rFonts w:ascii="Calibri" w:hAnsi="Calibri"/>
                <w:sz w:val="22"/>
              </w:rPr>
              <w:t>$5.76</w:t>
            </w:r>
          </w:p>
        </w:tc>
        <w:tc>
          <w:tcPr>
            <w:tcW w:type="dxa" w:w="1440"/>
          </w:tcPr>
          <w:p>
            <w:r>
              <w:rPr>
                <w:rFonts w:ascii="Calibri" w:hAnsi="Calibri"/>
                <w:b/>
                <w:color w:val="30A46C"/>
                <w:sz w:val="22"/>
              </w:rPr>
              <w:t>+9.7%</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$3.697B</w:t>
            </w:r>
          </w:p>
        </w:tc>
        <w:tc>
          <w:tcPr>
            <w:tcW w:type="dxa" w:w="1440"/>
          </w:tcPr>
          <w:p>
            <w:r>
              <w:rPr>
                <w:rFonts w:ascii="Calibri" w:hAnsi="Calibri"/>
                <w:sz w:val="22"/>
              </w:rPr>
              <w:t>$3.771B</w:t>
            </w:r>
          </w:p>
        </w:tc>
        <w:tc>
          <w:tcPr>
            <w:tcW w:type="dxa" w:w="1440"/>
          </w:tcPr>
          <w:p>
            <w:r>
              <w:rPr>
                <w:rFonts w:ascii="Calibri" w:hAnsi="Calibri"/>
                <w:b/>
                <w:color w:val="E5484D"/>
                <w:sz w:val="22"/>
              </w:rPr>
              <w:t>-2.0%</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$5.80</w:t>
            </w:r>
          </w:p>
        </w:tc>
        <w:tc>
          <w:tcPr>
            <w:tcW w:type="dxa" w:w="1440"/>
          </w:tcPr>
          <w:p>
            <w:r>
              <w:rPr>
                <w:rFonts w:ascii="Calibri" w:hAnsi="Calibri"/>
                <w:sz w:val="22"/>
              </w:rPr>
              <w:t>$4.98</w:t>
            </w:r>
          </w:p>
        </w:tc>
        <w:tc>
          <w:tcPr>
            <w:tcW w:type="dxa" w:w="1440"/>
          </w:tcPr>
          <w:p>
            <w:r>
              <w:rPr>
                <w:rFonts w:ascii="Calibri" w:hAnsi="Calibri"/>
                <w:b/>
                <w:color w:val="30A46C"/>
                <w:sz w:val="22"/>
              </w:rPr>
              <w:t>+16.5%</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EME has beaten EPS consensus in 7 of the last 8 quarters, often by a wide margin (avg. ~12% surprise), while revenue beats have been more mixed — two revenue misses in Q3–Q4 2024 preceded the current strong-beat streak, suggesting the Street has been slow to fully credit the revenue ramp.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was raised meaningfully at Q1 earnings (April 29) and reaffirmed at the William Blair conference (June 2) with no further changes — tone remains confident, with management noting they "surprised themselves on the revenue side" and updating organic growth to 9%–13%.</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Revenue</w:t>
            </w:r>
          </w:p>
        </w:tc>
        <w:tc>
          <w:tcPr>
            <w:tcW w:type="dxa" w:w="1728"/>
          </w:tcPr>
          <w:p>
            <w:r>
              <w:rPr>
                <w:rFonts w:ascii="Calibri" w:hAnsi="Calibri"/>
                <w:sz w:val="22"/>
              </w:rPr>
              <w:t>$18.5B – $19.25B</w:t>
            </w:r>
          </w:p>
        </w:tc>
        <w:tc>
          <w:tcPr>
            <w:tcW w:type="dxa" w:w="1728"/>
          </w:tcPr>
          <w:p>
            <w:r>
              <w:rPr>
                <w:rFonts w:ascii="Calibri" w:hAnsi="Calibri"/>
                <w:sz w:val="22"/>
              </w:rPr>
              <w:t>—</w:t>
            </w:r>
          </w:p>
        </w:tc>
        <w:tc>
          <w:tcPr>
            <w:tcW w:type="dxa" w:w="1728"/>
          </w:tcPr>
          <w:p>
            <w:r>
              <w:rPr>
                <w:rFonts w:ascii="Calibri" w:hAnsi="Calibri"/>
                <w:sz w:val="22"/>
              </w:rPr>
              <w:t>$19.00B</w:t>
            </w:r>
          </w:p>
        </w:tc>
        <w:tc>
          <w:tcPr>
            <w:tcW w:type="dxa" w:w="1728"/>
          </w:tcPr>
          <w:p>
            <w:r>
              <w:rPr>
                <w:rFonts w:ascii="Calibri" w:hAnsi="Calibri"/>
                <w:sz w:val="22"/>
              </w:rPr>
              <w:t>Reaffirmed at William Blair (Jun 2); no change to range. Raised from prior guidance at Q1 print.</w:t>
            </w:r>
          </w:p>
        </w:tc>
      </w:tr>
      <w:tr>
        <w:tc>
          <w:tcPr>
            <w:tcW w:type="dxa" w:w="1728"/>
          </w:tcPr>
          <w:p>
            <w:r>
              <w:rPr>
                <w:rFonts w:ascii="Calibri" w:hAnsi="Calibri"/>
                <w:sz w:val="22"/>
              </w:rPr>
              <w:t>FY 2026 Adj. EPS</w:t>
            </w:r>
          </w:p>
        </w:tc>
        <w:tc>
          <w:tcPr>
            <w:tcW w:type="dxa" w:w="1728"/>
          </w:tcPr>
          <w:p>
            <w:r>
              <w:rPr>
                <w:rFonts w:ascii="Calibri" w:hAnsi="Calibri"/>
                <w:sz w:val="22"/>
              </w:rPr>
              <w:t>$28.25 – $29.75</w:t>
            </w:r>
          </w:p>
        </w:tc>
        <w:tc>
          <w:tcPr>
            <w:tcW w:type="dxa" w:w="1728"/>
          </w:tcPr>
          <w:p>
            <w:r>
              <w:rPr>
                <w:rFonts w:ascii="Calibri" w:hAnsi="Calibri"/>
                <w:sz w:val="22"/>
              </w:rPr>
              <w:t>—</w:t>
            </w:r>
          </w:p>
        </w:tc>
        <w:tc>
          <w:tcPr>
            <w:tcW w:type="dxa" w:w="1728"/>
          </w:tcPr>
          <w:p>
            <w:r>
              <w:rPr>
                <w:rFonts w:ascii="Calibri" w:hAnsi="Calibri"/>
                <w:sz w:val="22"/>
              </w:rPr>
              <w:t>$29.41</w:t>
            </w:r>
          </w:p>
        </w:tc>
        <w:tc>
          <w:tcPr>
            <w:tcW w:type="dxa" w:w="1728"/>
          </w:tcPr>
          <w:p>
            <w:r>
              <w:rPr>
                <w:rFonts w:ascii="Calibri" w:hAnsi="Calibri"/>
                <w:sz w:val="22"/>
              </w:rPr>
              <w:t>Reaffirmed at William Blair (Jun 2); consensus sits near top of range. Raised from prior guidance at Q1 print.</w:t>
            </w:r>
          </w:p>
        </w:tc>
      </w:tr>
      <w:tr>
        <w:tc>
          <w:tcPr>
            <w:tcW w:type="dxa" w:w="1728"/>
          </w:tcPr>
          <w:p>
            <w:r>
              <w:rPr>
                <w:rFonts w:ascii="Calibri" w:hAnsi="Calibri"/>
                <w:sz w:val="22"/>
              </w:rPr>
              <w:t>FY 2026 Organic Growth</w:t>
            </w:r>
          </w:p>
        </w:tc>
        <w:tc>
          <w:tcPr>
            <w:tcW w:type="dxa" w:w="1728"/>
          </w:tcPr>
          <w:p>
            <w:r>
              <w:rPr>
                <w:rFonts w:ascii="Calibri" w:hAnsi="Calibri"/>
                <w:sz w:val="22"/>
              </w:rPr>
              <w:t>High single to low-to-mid teens (updated from ~9–10% initial)</w:t>
            </w:r>
          </w:p>
        </w:tc>
        <w:tc>
          <w:tcPr>
            <w:tcW w:type="dxa" w:w="1728"/>
          </w:tcPr>
          <w:p>
            <w:r>
              <w:rPr>
                <w:rFonts w:ascii="Calibri" w:hAnsi="Calibri"/>
                <w:sz w:val="22"/>
              </w:rPr>
              <w:t>—</w:t>
            </w:r>
          </w:p>
        </w:tc>
        <w:tc>
          <w:tcPr>
            <w:tcW w:type="dxa" w:w="1728"/>
          </w:tcPr>
          <w:p>
            <w:r>
              <w:rPr>
                <w:rFonts w:ascii="Calibri" w:hAnsi="Calibri"/>
                <w:sz w:val="22"/>
              </w:rPr>
              <w:t>N/A — not tracked by VA</w:t>
            </w:r>
          </w:p>
        </w:tc>
        <w:tc>
          <w:tcPr>
            <w:tcW w:type="dxa" w:w="1728"/>
          </w:tcPr>
          <w:p>
            <w:r>
              <w:rPr>
                <w:rFonts w:ascii="Calibri" w:hAnsi="Calibri"/>
                <w:sz w:val="22"/>
              </w:rPr>
              <w:t>Updated to "9%–13%" at William Blair (Jun 2); management noted volume, demand, and productivity as core drivers.</w:t>
            </w:r>
          </w:p>
        </w:tc>
      </w:tr>
      <w:tr>
        <w:tc>
          <w:tcPr>
            <w:tcW w:type="dxa" w:w="1728"/>
          </w:tcPr>
          <w:p>
            <w:r>
              <w:rPr>
                <w:rFonts w:ascii="Calibri" w:hAnsi="Calibri"/>
                <w:sz w:val="22"/>
              </w:rPr>
              <w:t>FY 2026 Operating Margin</w:t>
            </w:r>
          </w:p>
        </w:tc>
        <w:tc>
          <w:tcPr>
            <w:tcW w:type="dxa" w:w="1728"/>
          </w:tcPr>
          <w:p>
            <w:r>
              <w:rPr>
                <w:rFonts w:ascii="Calibri" w:hAnsi="Calibri"/>
                <w:sz w:val="22"/>
              </w:rPr>
              <w:t>"Continued strong operating margins throughout 2026" — no specific % range given</w:t>
            </w:r>
          </w:p>
        </w:tc>
        <w:tc>
          <w:tcPr>
            <w:tcW w:type="dxa" w:w="1728"/>
          </w:tcPr>
          <w:p>
            <w:r>
              <w:rPr>
                <w:rFonts w:ascii="Calibri" w:hAnsi="Calibri"/>
                <w:sz w:val="22"/>
              </w:rPr>
              <w:t>—</w:t>
            </w:r>
          </w:p>
        </w:tc>
        <w:tc>
          <w:tcPr>
            <w:tcW w:type="dxa" w:w="1728"/>
          </w:tcPr>
          <w:p>
            <w:r>
              <w:rPr>
                <w:rFonts w:ascii="Calibri" w:hAnsi="Calibri"/>
                <w:sz w:val="22"/>
              </w:rPr>
              <w:t>9.27%</w:t>
            </w:r>
          </w:p>
        </w:tc>
        <w:tc>
          <w:tcPr>
            <w:tcW w:type="dxa" w:w="1728"/>
          </w:tcPr>
          <w:p>
            <w:r>
              <w:rPr>
                <w:rFonts w:ascii="Calibri" w:hAnsi="Calibri"/>
                <w:sz w:val="22"/>
              </w:rPr>
              <w:t>Unchanged; management emphasizes rolling 12–24 month averages over quarterly precision. Margin dollars &gt; margin % framing.</w:t>
            </w:r>
          </w:p>
        </w:tc>
      </w:tr>
      <w:tr>
        <w:tc>
          <w:tcPr>
            <w:tcW w:type="dxa" w:w="1728"/>
          </w:tcPr>
          <w:p>
            <w:r>
              <w:rPr>
                <w:rFonts w:ascii="Calibri" w:hAnsi="Calibri"/>
                <w:sz w:val="22"/>
              </w:rPr>
              <w:t>FY 2026 Cash Flow Conversion</w:t>
            </w:r>
          </w:p>
        </w:tc>
        <w:tc>
          <w:tcPr>
            <w:tcW w:type="dxa" w:w="1728"/>
          </w:tcPr>
          <w:p>
            <w:r>
              <w:rPr>
                <w:rFonts w:ascii="Calibri" w:hAnsi="Calibri"/>
                <w:sz w:val="22"/>
              </w:rPr>
              <w:t>&gt;80% of operating income (or at least equivalent to net income)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Reaffirmed at William Blair (Jun 2): "greater than 80% cash flow conversion this year."</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post-Q1 baseline — Q2 revenue up only ~$15M and EPS up ~$0.02 since May 8 — suggesting the Street has absorbed the raised guidance without adding incremental cushion. Consensus sits near the top of the EPS guidance range, implying limited room for upward revision but also a well-anchored bar.</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(May 8, 2026 — Post-Q1 Baseline)</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 Apr 29)</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w:t>
            </w:r>
          </w:p>
        </w:tc>
      </w:tr>
      <w:tr>
        <w:tc>
          <w:tcPr>
            <w:tcW w:type="dxa" w:w="1080"/>
          </w:tcPr>
          <w:p>
            <w:r>
              <w:rPr>
                <w:rFonts w:ascii="Calibri" w:hAnsi="Calibri"/>
                <w:sz w:val="22"/>
              </w:rPr>
              <w:t>Revenue — Q2 2026</w:t>
            </w:r>
          </w:p>
        </w:tc>
        <w:tc>
          <w:tcPr>
            <w:tcW w:type="dxa" w:w="1080"/>
          </w:tcPr>
          <w:p>
            <w:r>
              <w:rPr>
                <w:rFonts w:ascii="Calibri" w:hAnsi="Calibri"/>
                <w:sz w:val="22"/>
              </w:rPr>
              <w:t>$4.696B</w:t>
            </w:r>
          </w:p>
        </w:tc>
        <w:tc>
          <w:tcPr>
            <w:tcW w:type="dxa" w:w="1080"/>
          </w:tcPr>
          <w:p>
            <w:r>
              <w:rPr>
                <w:rFonts w:ascii="Calibri" w:hAnsi="Calibri"/>
                <w:sz w:val="22"/>
              </w:rPr>
              <w:t>$4.712B</w:t>
            </w:r>
          </w:p>
        </w:tc>
        <w:tc>
          <w:tcPr>
            <w:tcW w:type="dxa" w:w="1080"/>
          </w:tcPr>
          <w:p>
            <w:r>
              <w:rPr>
                <w:rFonts w:ascii="Calibri" w:hAnsi="Calibri"/>
                <w:sz w:val="22"/>
              </w:rPr>
              <w:t>+0.3%</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Revenue — FY 2026</w:t>
            </w:r>
          </w:p>
        </w:tc>
        <w:tc>
          <w:tcPr>
            <w:tcW w:type="dxa" w:w="1080"/>
          </w:tcPr>
          <w:p>
            <w:r>
              <w:rPr>
                <w:rFonts w:ascii="Calibri" w:hAnsi="Calibri"/>
                <w:sz w:val="22"/>
              </w:rPr>
              <w:t>$18.975B</w:t>
            </w:r>
          </w:p>
        </w:tc>
        <w:tc>
          <w:tcPr>
            <w:tcW w:type="dxa" w:w="1080"/>
          </w:tcPr>
          <w:p>
            <w:r>
              <w:rPr>
                <w:rFonts w:ascii="Calibri" w:hAnsi="Calibri"/>
                <w:sz w:val="22"/>
              </w:rPr>
              <w:t>$18.997B</w:t>
            </w:r>
          </w:p>
        </w:tc>
        <w:tc>
          <w:tcPr>
            <w:tcW w:type="dxa" w:w="1080"/>
          </w:tcPr>
          <w:p>
            <w:r>
              <w:rPr>
                <w:rFonts w:ascii="Calibri" w:hAnsi="Calibri"/>
                <w:sz w:val="22"/>
              </w:rPr>
              <w:t>+0.1%</w:t>
            </w:r>
          </w:p>
        </w:tc>
        <w:tc>
          <w:tcPr>
            <w:tcW w:type="dxa" w:w="1080"/>
          </w:tcPr>
          <w:p>
            <w:r>
              <w:rPr>
                <w:rFonts w:ascii="Calibri" w:hAnsi="Calibri"/>
                <w:sz w:val="22"/>
              </w:rPr>
              <w:t>$18.5B–$19.25B</w:t>
            </w:r>
          </w:p>
        </w:tc>
        <w:tc>
          <w:tcPr>
            <w:tcW w:type="dxa" w:w="1080"/>
          </w:tcPr>
          <w:p>
            <w:r>
              <w:rPr>
                <w:rFonts w:ascii="Calibri" w:hAnsi="Calibri"/>
                <w:sz w:val="22"/>
              </w:rPr>
              <w:t>$18.5B–$19.25B (unchanged)</w:t>
            </w:r>
          </w:p>
        </w:tc>
        <w:tc>
          <w:tcPr>
            <w:tcW w:type="dxa" w:w="1080"/>
          </w:tcPr>
          <w:p>
            <w:r>
              <w:rPr>
                <w:rFonts w:ascii="Calibri" w:hAnsi="Calibri"/>
                <w:sz w:val="22"/>
              </w:rPr>
              <w:t>Unchanged</w:t>
            </w:r>
          </w:p>
        </w:tc>
        <w:tc>
          <w:tcPr>
            <w:tcW w:type="dxa" w:w="1080"/>
          </w:tcPr>
          <w:p>
            <w:r>
              <w:rPr>
                <w:rFonts w:ascii="Calibri" w:hAnsi="Calibri"/>
                <w:sz w:val="22"/>
              </w:rPr>
              <w:t>+0.6% vs. mid ($18.875B)</w:t>
            </w:r>
          </w:p>
        </w:tc>
      </w:tr>
      <w:tr>
        <w:tc>
          <w:tcPr>
            <w:tcW w:type="dxa" w:w="1080"/>
          </w:tcPr>
          <w:p>
            <w:r>
              <w:rPr>
                <w:rFonts w:ascii="Calibri" w:hAnsi="Calibri"/>
                <w:sz w:val="22"/>
              </w:rPr>
              <w:t>Adj. EPS — Q2 2026</w:t>
            </w:r>
          </w:p>
        </w:tc>
        <w:tc>
          <w:tcPr>
            <w:tcW w:type="dxa" w:w="1080"/>
          </w:tcPr>
          <w:p>
            <w:r>
              <w:rPr>
                <w:rFonts w:ascii="Calibri" w:hAnsi="Calibri"/>
                <w:sz w:val="22"/>
              </w:rPr>
              <w:t>$7.29</w:t>
            </w:r>
          </w:p>
        </w:tc>
        <w:tc>
          <w:tcPr>
            <w:tcW w:type="dxa" w:w="1080"/>
          </w:tcPr>
          <w:p>
            <w:r>
              <w:rPr>
                <w:rFonts w:ascii="Calibri" w:hAnsi="Calibri"/>
                <w:sz w:val="22"/>
              </w:rPr>
              <w:t>$7.27</w:t>
            </w:r>
          </w:p>
        </w:tc>
        <w:tc>
          <w:tcPr>
            <w:tcW w:type="dxa" w:w="1080"/>
          </w:tcPr>
          <w:p>
            <w:r>
              <w:rPr>
                <w:rFonts w:ascii="Calibri" w:hAnsi="Calibri"/>
                <w:sz w:val="22"/>
              </w:rPr>
              <w:t>-0.3%</w:t>
            </w:r>
          </w:p>
        </w:tc>
        <w:tc>
          <w:tcPr>
            <w:tcW w:type="dxa" w:w="1080"/>
          </w:tcPr>
          <w:p>
            <w:r>
              <w:rPr>
                <w:rFonts w:ascii="Calibri" w:hAnsi="Calibri"/>
                <w:sz w:val="22"/>
              </w:rPr>
              <w:t>N/A (FY only)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 2026</w:t>
            </w:r>
          </w:p>
        </w:tc>
        <w:tc>
          <w:tcPr>
            <w:tcW w:type="dxa" w:w="1080"/>
          </w:tcPr>
          <w:p>
            <w:r>
              <w:rPr>
                <w:rFonts w:ascii="Calibri" w:hAnsi="Calibri"/>
                <w:sz w:val="22"/>
              </w:rPr>
              <w:t>$29.39</w:t>
            </w:r>
          </w:p>
        </w:tc>
        <w:tc>
          <w:tcPr>
            <w:tcW w:type="dxa" w:w="1080"/>
          </w:tcPr>
          <w:p>
            <w:r>
              <w:rPr>
                <w:rFonts w:ascii="Calibri" w:hAnsi="Calibri"/>
                <w:sz w:val="22"/>
              </w:rPr>
              <w:t>$29.41</w:t>
            </w:r>
          </w:p>
        </w:tc>
        <w:tc>
          <w:tcPr>
            <w:tcW w:type="dxa" w:w="1080"/>
          </w:tcPr>
          <w:p>
            <w:r>
              <w:rPr>
                <w:rFonts w:ascii="Calibri" w:hAnsi="Calibri"/>
                <w:sz w:val="22"/>
              </w:rPr>
              <w:t>+0.1%</w:t>
            </w:r>
          </w:p>
        </w:tc>
        <w:tc>
          <w:tcPr>
            <w:tcW w:type="dxa" w:w="1080"/>
          </w:tcPr>
          <w:p>
            <w:r>
              <w:rPr>
                <w:rFonts w:ascii="Calibri" w:hAnsi="Calibri"/>
                <w:sz w:val="22"/>
              </w:rPr>
              <w:t>$28.25–$29.75</w:t>
            </w:r>
          </w:p>
        </w:tc>
        <w:tc>
          <w:tcPr>
            <w:tcW w:type="dxa" w:w="1080"/>
          </w:tcPr>
          <w:p>
            <w:r>
              <w:rPr>
                <w:rFonts w:ascii="Calibri" w:hAnsi="Calibri"/>
                <w:sz w:val="22"/>
              </w:rPr>
              <w:t>$28.25–$29.75 (unchanged)</w:t>
            </w:r>
          </w:p>
        </w:tc>
        <w:tc>
          <w:tcPr>
            <w:tcW w:type="dxa" w:w="1080"/>
          </w:tcPr>
          <w:p>
            <w:r>
              <w:rPr>
                <w:rFonts w:ascii="Calibri" w:hAnsi="Calibri"/>
                <w:sz w:val="22"/>
              </w:rPr>
              <w:t>Unchanged</w:t>
            </w:r>
          </w:p>
        </w:tc>
        <w:tc>
          <w:tcPr>
            <w:tcW w:type="dxa" w:w="1080"/>
          </w:tcPr>
          <w:p>
            <w:r>
              <w:rPr>
                <w:rFonts w:ascii="Calibri" w:hAnsi="Calibri"/>
                <w:sz w:val="22"/>
              </w:rPr>
              <w:t>+1.4% vs. mid ($29.00)</w:t>
            </w:r>
          </w:p>
        </w:tc>
      </w:tr>
    </w:tbl>
    <w:p>
      <w:r>
        <w:rPr>
          <w:rFonts w:ascii="Calibri" w:hAnsi="Calibri"/>
          <w:i/>
          <w:color w:val="525866"/>
          <w:sz w:val="22"/>
        </w:rPr>
        <w:t>Source: Visible Alpha consensus and actuals data. Post-Q1 baseline date of May 8, 2026 (approximately 5 trading days after the April 29 earnings release). Revision history data from Visible Alpha weekly consensus series.</w:t>
      </w:r>
    </w:p>
    <w:p>
      <w:r>
        <w:rPr>
          <w:rFonts w:ascii="Calibri" w:hAnsi="Calibri"/>
          <w:color w:val="525866"/>
          <w:sz w:val="22"/>
        </w:rPr>
        <w:t>The near-zero estimate drift since the post-Q1 baseline is notable: the Street has essentially locked in the raised guidance as the new consensus without adding further upside. This means a clean beat on Q2 revenue and EPS would likely require actual results to exceed the current $4.71B / $7.27 bar, and any positive commentary on mechanical margin recovery or RPO quality could be the incremental catalyst for upward FY revisions.</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EME’s ~19% decline since Q1 earnings is almost entirely a </w:t>
      </w:r>
      <w:r>
        <w:rPr>
          <w:rFonts w:ascii="Calibri" w:hAnsi="Calibri"/>
          <w:b/>
          <w:color w:val="525866"/>
          <w:sz w:val="22"/>
        </w:rPr>
        <w:t>multiple compression story</w:t>
      </w:r>
      <w:r>
        <w:rPr>
          <w:rFonts w:ascii="Calibri" w:hAnsi="Calibri"/>
          <w:color w:val="525866"/>
          <w:sz w:val="22"/>
        </w:rPr>
        <w:t xml:space="preserve"> — NTM P/E contracted from ~30x to ~22x over three months while estimates barely moved — suggesting the market is repricing execution risk and sector rotation rather than deteriorating fundamentals. XLI was roughly flat and SPY gained ~2.5% over the same period, making EME a significant underperformer.</w:t>
      </w:r>
    </w:p>
    <w:p>
      <w:r>
        <w:rPr>
          <w:rFonts w:ascii="Calibri" w:hAnsi="Calibri"/>
          <w:b/>
          <w:color w:val="525866"/>
          <w:sz w:val="22"/>
        </w:rPr>
        <w:t>EME vs. XLI vs. S&amp;P 500 — Indexed Performance Since Q1 2026 Earnings (April 29,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EME (Indexed)</w:t>
            </w:r>
          </w:p>
        </w:tc>
        <w:tc>
          <w:tcPr>
            <w:tcW w:type="dxa" w:w="2160"/>
            <w:shd w:val="clear" w:color="auto" w:fill="3B4259"/>
          </w:tcPr>
          <w:p>
            <w:r>
              <w:rPr>
                <w:rFonts w:ascii="Calibri" w:hAnsi="Calibri"/>
                <w:b/>
                <w:color w:val="FFFFFF"/>
                <w:sz w:val="22"/>
              </w:rPr>
              <w:t>XLI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29,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6, 2026</w:t>
            </w:r>
          </w:p>
        </w:tc>
        <w:tc>
          <w:tcPr>
            <w:tcW w:type="dxa" w:w="2160"/>
          </w:tcPr>
          <w:p>
            <w:r>
              <w:rPr>
                <w:rFonts w:ascii="Calibri" w:hAnsi="Calibri"/>
                <w:sz w:val="22"/>
              </w:rPr>
              <w:t>113.2</w:t>
            </w:r>
          </w:p>
        </w:tc>
        <w:tc>
          <w:tcPr>
            <w:tcW w:type="dxa" w:w="2160"/>
          </w:tcPr>
          <w:p>
            <w:r>
              <w:rPr>
                <w:rFonts w:ascii="Calibri" w:hAnsi="Calibri"/>
                <w:sz w:val="22"/>
              </w:rPr>
              <w:t>104.1</w:t>
            </w:r>
          </w:p>
        </w:tc>
        <w:tc>
          <w:tcPr>
            <w:tcW w:type="dxa" w:w="2160"/>
          </w:tcPr>
          <w:p>
            <w:r>
              <w:rPr>
                <w:rFonts w:ascii="Calibri" w:hAnsi="Calibri"/>
                <w:sz w:val="22"/>
              </w:rPr>
              <w:t>103.1</w:t>
            </w:r>
          </w:p>
        </w:tc>
      </w:tr>
      <w:tr>
        <w:tc>
          <w:tcPr>
            <w:tcW w:type="dxa" w:w="2160"/>
          </w:tcPr>
          <w:p>
            <w:r>
              <w:rPr>
                <w:rFonts w:ascii="Calibri" w:hAnsi="Calibri"/>
                <w:sz w:val="22"/>
              </w:rPr>
              <w:t>May 29, 2026</w:t>
            </w:r>
          </w:p>
        </w:tc>
        <w:tc>
          <w:tcPr>
            <w:tcW w:type="dxa" w:w="2160"/>
          </w:tcPr>
          <w:p>
            <w:r>
              <w:rPr>
                <w:rFonts w:ascii="Calibri" w:hAnsi="Calibri"/>
                <w:sz w:val="22"/>
              </w:rPr>
              <w:t>99.2</w:t>
            </w:r>
          </w:p>
        </w:tc>
        <w:tc>
          <w:tcPr>
            <w:tcW w:type="dxa" w:w="2160"/>
          </w:tcPr>
          <w:p>
            <w:r>
              <w:rPr>
                <w:rFonts w:ascii="Calibri" w:hAnsi="Calibri"/>
                <w:sz w:val="22"/>
              </w:rPr>
              <w:t>101.9</w:t>
            </w:r>
          </w:p>
        </w:tc>
        <w:tc>
          <w:tcPr>
            <w:tcW w:type="dxa" w:w="2160"/>
          </w:tcPr>
          <w:p>
            <w:r>
              <w:rPr>
                <w:rFonts w:ascii="Calibri" w:hAnsi="Calibri"/>
                <w:sz w:val="22"/>
              </w:rPr>
              <w:t>106.3</w:t>
            </w:r>
          </w:p>
        </w:tc>
      </w:tr>
      <w:tr>
        <w:tc>
          <w:tcPr>
            <w:tcW w:type="dxa" w:w="2160"/>
          </w:tcPr>
          <w:p>
            <w:r>
              <w:rPr>
                <w:rFonts w:ascii="Calibri" w:hAnsi="Calibri"/>
                <w:sz w:val="22"/>
              </w:rPr>
              <w:t>Jun 2, 2026 (William Blair Conf.)</w:t>
            </w:r>
          </w:p>
        </w:tc>
        <w:tc>
          <w:tcPr>
            <w:tcW w:type="dxa" w:w="2160"/>
          </w:tcPr>
          <w:p>
            <w:r>
              <w:rPr>
                <w:rFonts w:ascii="Calibri" w:hAnsi="Calibri"/>
                <w:sz w:val="22"/>
              </w:rPr>
              <w:t>99.3</w:t>
            </w:r>
          </w:p>
        </w:tc>
        <w:tc>
          <w:tcPr>
            <w:tcW w:type="dxa" w:w="2160"/>
          </w:tcPr>
          <w:p>
            <w:r>
              <w:rPr>
                <w:rFonts w:ascii="Calibri" w:hAnsi="Calibri"/>
                <w:sz w:val="22"/>
              </w:rPr>
              <w:t>102.5</w:t>
            </w:r>
          </w:p>
        </w:tc>
        <w:tc>
          <w:tcPr>
            <w:tcW w:type="dxa" w:w="2160"/>
          </w:tcPr>
          <w:p>
            <w:r>
              <w:rPr>
                <w:rFonts w:ascii="Calibri" w:hAnsi="Calibri"/>
                <w:sz w:val="22"/>
              </w:rPr>
              <w:t>106.7</w:t>
            </w:r>
          </w:p>
        </w:tc>
      </w:tr>
      <w:tr>
        <w:tc>
          <w:tcPr>
            <w:tcW w:type="dxa" w:w="2160"/>
          </w:tcPr>
          <w:p>
            <w:r>
              <w:rPr>
                <w:rFonts w:ascii="Calibri" w:hAnsi="Calibri"/>
                <w:sz w:val="22"/>
              </w:rPr>
              <w:t>Jun 30, 2026</w:t>
            </w:r>
          </w:p>
        </w:tc>
        <w:tc>
          <w:tcPr>
            <w:tcW w:type="dxa" w:w="2160"/>
          </w:tcPr>
          <w:p>
            <w:r>
              <w:rPr>
                <w:rFonts w:ascii="Calibri" w:hAnsi="Calibri"/>
                <w:sz w:val="22"/>
              </w:rPr>
              <w:t>99.6</w:t>
            </w:r>
          </w:p>
        </w:tc>
        <w:tc>
          <w:tcPr>
            <w:tcW w:type="dxa" w:w="2160"/>
          </w:tcPr>
          <w:p>
            <w:r>
              <w:rPr>
                <w:rFonts w:ascii="Calibri" w:hAnsi="Calibri"/>
                <w:sz w:val="22"/>
              </w:rPr>
              <w:t>109.0</w:t>
            </w:r>
          </w:p>
        </w:tc>
        <w:tc>
          <w:tcPr>
            <w:tcW w:type="dxa" w:w="2160"/>
          </w:tcPr>
          <w:p>
            <w:r>
              <w:rPr>
                <w:rFonts w:ascii="Calibri" w:hAnsi="Calibri"/>
                <w:sz w:val="22"/>
              </w:rPr>
              <w:t>104.9</w:t>
            </w:r>
          </w:p>
        </w:tc>
      </w:tr>
      <w:tr>
        <w:tc>
          <w:tcPr>
            <w:tcW w:type="dxa" w:w="2160"/>
          </w:tcPr>
          <w:p>
            <w:r>
              <w:rPr>
                <w:rFonts w:ascii="Calibri" w:hAnsi="Calibri"/>
                <w:sz w:val="22"/>
              </w:rPr>
              <w:t>Jul 28, 2026</w:t>
            </w:r>
          </w:p>
        </w:tc>
        <w:tc>
          <w:tcPr>
            <w:tcW w:type="dxa" w:w="2160"/>
          </w:tcPr>
          <w:p>
            <w:r>
              <w:rPr>
                <w:rFonts w:ascii="Calibri" w:hAnsi="Calibri"/>
                <w:sz w:val="22"/>
              </w:rPr>
              <w:t>84.7</w:t>
            </w:r>
          </w:p>
        </w:tc>
        <w:tc>
          <w:tcPr>
            <w:tcW w:type="dxa" w:w="2160"/>
          </w:tcPr>
          <w:p>
            <w:r>
              <w:rPr>
                <w:rFonts w:ascii="Calibri" w:hAnsi="Calibri"/>
                <w:sz w:val="22"/>
              </w:rPr>
              <w:t>107.4</w:t>
            </w:r>
          </w:p>
        </w:tc>
        <w:tc>
          <w:tcPr>
            <w:tcW w:type="dxa" w:w="2160"/>
          </w:tcPr>
          <w:p>
            <w:r>
              <w:rPr>
                <w:rFonts w:ascii="Calibri" w:hAnsi="Calibri"/>
                <w:sz w:val="22"/>
              </w:rPr>
              <w:t>104.1</w:t>
            </w:r>
          </w:p>
        </w:tc>
      </w:tr>
      <w:tr>
        <w:tc>
          <w:tcPr>
            <w:tcW w:type="dxa" w:w="2160"/>
          </w:tcPr>
          <w:p>
            <w:r>
              <w:rPr>
                <w:rFonts w:ascii="Calibri" w:hAnsi="Calibri"/>
                <w:sz w:val="22"/>
              </w:rPr>
              <w:t>Jul 29, 2026 (Latest)</w:t>
            </w:r>
          </w:p>
        </w:tc>
        <w:tc>
          <w:tcPr>
            <w:tcW w:type="dxa" w:w="2160"/>
          </w:tcPr>
          <w:p>
            <w:r>
              <w:rPr>
                <w:rFonts w:ascii="Calibri" w:hAnsi="Calibri"/>
                <w:sz w:val="22"/>
              </w:rPr>
              <w:t>~80.7</w:t>
            </w:r>
          </w:p>
        </w:tc>
        <w:tc>
          <w:tcPr>
            <w:tcW w:type="dxa" w:w="2160"/>
          </w:tcPr>
          <w:p>
            <w:r>
              <w:rPr>
                <w:rFonts w:ascii="Calibri" w:hAnsi="Calibri"/>
                <w:sz w:val="22"/>
              </w:rPr>
              <w:t>~104.0</w:t>
            </w:r>
          </w:p>
        </w:tc>
        <w:tc>
          <w:tcPr>
            <w:tcW w:type="dxa" w:w="2160"/>
          </w:tcPr>
          <w:p>
            <w:r>
              <w:rPr>
                <w:rFonts w:ascii="Calibri" w:hAnsi="Calibri"/>
                <w:sz w:val="22"/>
              </w:rPr>
              <w:t>~102.5</w:t>
            </w:r>
          </w:p>
        </w:tc>
      </w:tr>
    </w:tbl>
    <w:p>
      <w:r>
        <w:rPr>
          <w:rFonts w:ascii="Calibri" w:hAnsi="Calibri"/>
          <w:b/>
          <w:color w:val="525866"/>
          <w:sz w:val="22"/>
        </w:rPr>
        <w:t xml:space="preserve">Note: </w:t>
      </w:r>
      <w:r>
        <w:rPr>
          <w:rFonts w:ascii="Calibri" w:hAnsi="Calibri"/>
          <w:i/>
          <w:color w:val="525866"/>
          <w:sz w:val="22"/>
        </w:rPr>
        <w:t>Indexed to 100 at April 29, 2026 close (EME: $833.37, XLI: $169.93, SPY: $711.58). XLI (iShares U.S. Industrials ETF) used as the sector benchmark — appropriate given EME’s classification as an engineering &amp; construction company within the Industrials sector. Source: Stock Price Data (Yahoo Finance).</w:t>
      </w:r>
    </w:p>
    <w:p>
      <w:r>
        <w:rPr>
          <w:rFonts w:ascii="Calibri" w:hAnsi="Calibri"/>
          <w:b/>
          <w:color w:val="525866"/>
          <w:sz w:val="22"/>
        </w:rPr>
        <w:t xml:space="preserve">Key observations: </w:t>
      </w:r>
      <w:r>
        <w:rPr>
          <w:rFonts w:ascii="Calibri" w:hAnsi="Calibri"/>
          <w:color w:val="525866"/>
          <w:sz w:val="22"/>
        </w:rPr>
        <w:t>(1) EME initially surged ~7% on Q1 earnings day (Apr 29→Apr 30) on the large beat and raised guidance, then continued to ~$943 by May 6 (+13% from base). (2) The stock then reversed sharply and has been in a sustained downtrend, underperforming both XLI and SPY by a wide margin. (3) The June 2 William Blair conference provided no re-rating catalyst. (4) The stock accelerated lower in July, falling from ~$830 at June 30 to ~$706 by July 28 — a further ~15% decline in one month. (5) NTM P/E compressed from ~30x (3-month ago) to ~22x currently, while NTM EV/EBITDA compressed from ~20x to ~15x — both driven by price, not estimate cuts.</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sustained and accelerating stock de-rating despite no negative fundamental news — the market appears to be pricing in sector rotation out of high-multiple industrials and concern about mechanical margin sustainability, creating a potentially asymmetric setup into the print.</w:t>
      </w:r>
    </w:p>
    <w:p>
      <w:pPr>
        <w:pStyle w:val="ListBullet"/>
        <w:ind w:left="360" w:hanging="360"/>
      </w:pPr>
      <w:r>
        <w:rPr>
          <w:rFonts w:ascii="Calibri" w:hAnsi="Calibri"/>
          <w:b/>
          <w:color w:val="525866"/>
          <w:sz w:val="22"/>
        </w:rPr>
        <w:t>July 8, 2026 — MasTec (MTZ) acquires Superior Group (electrical infrastructure contractor focused on data centers).</w:t>
      </w:r>
      <w:r>
        <w:rPr>
          <w:rFonts w:ascii="Calibri" w:hAnsi="Calibri"/>
          <w:color w:val="525866"/>
          <w:sz w:val="22"/>
        </w:rPr>
        <w:t xml:space="preserve"> MTZ CEO stated the data center market is "bigger than people think" and "in the very early end of that cycle." Superior had $1.4B backlog and is projecting 40–50% revenue growth in 2027. </w:t>
      </w:r>
      <w:r>
        <w:rPr>
          <w:rFonts w:ascii="Calibri" w:hAnsi="Calibri"/>
          <w:i/>
          <w:color w:val="525866"/>
          <w:sz w:val="22"/>
        </w:rPr>
        <w:t xml:space="preserve">Implication: </w:t>
      </w:r>
      <w:r>
        <w:rPr>
          <w:rFonts w:ascii="Calibri" w:hAnsi="Calibri"/>
          <w:i/>
          <w:color w:val="525866"/>
          <w:sz w:val="22"/>
        </w:rPr>
        <w:t>Validates the structural demand thesis for EME’s electrical construction segment; also signals increasing competition for skilled electrical labor in data center markets.</w:t>
      </w:r>
    </w:p>
    <w:p>
      <w:pPr>
        <w:pStyle w:val="ListBullet"/>
        <w:ind w:left="360" w:hanging="360"/>
      </w:pPr>
      <w:r>
        <w:rPr>
          <w:rFonts w:ascii="Calibri" w:hAnsi="Calibri"/>
          <w:b/>
          <w:color w:val="525866"/>
          <w:sz w:val="22"/>
        </w:rPr>
        <w:t>July 24, 2026 — Comfort Systems USA (FIX) reports Q2 2026 earnings.</w:t>
      </w:r>
      <w:r>
        <w:rPr>
          <w:rFonts w:ascii="Calibri" w:hAnsi="Calibri"/>
          <w:color w:val="525866"/>
          <w:sz w:val="22"/>
        </w:rPr>
        <w:t xml:space="preserve"> FIX reported record backlog of $14.1B (+73% YoY), gross margin of 25.9% (vs. 23.5% prior year), and operating margin of 17.1% (vs. 13.8% prior year). Electrical revenue +81% and mechanical revenue +40% YoY. Management expressed "no letdown whatsoever" in hyperscaler build plans. </w:t>
      </w:r>
      <w:r>
        <w:rPr>
          <w:rFonts w:ascii="Calibri" w:hAnsi="Calibri"/>
          <w:i/>
          <w:color w:val="525866"/>
          <w:sz w:val="22"/>
        </w:rPr>
        <w:t xml:space="preserve">Implication: </w:t>
      </w:r>
      <w:r>
        <w:rPr>
          <w:rFonts w:ascii="Calibri" w:hAnsi="Calibri"/>
          <w:i/>
          <w:color w:val="525866"/>
          <w:sz w:val="22"/>
        </w:rPr>
        <w:t>Strong direct read-through for EME’s electrical and mechanical construction segments; FIX’s margin expansion is a positive signal for the industry pricing environment.</w:t>
      </w:r>
    </w:p>
    <w:p>
      <w:pPr>
        <w:pStyle w:val="ListBullet"/>
        <w:ind w:left="360" w:hanging="360"/>
      </w:pPr>
      <w:r>
        <w:rPr>
          <w:rFonts w:ascii="Calibri" w:hAnsi="Calibri"/>
          <w:b/>
          <w:color w:val="525866"/>
          <w:sz w:val="22"/>
        </w:rPr>
        <w:t>June 2, 2026 — EME management presents at William Blair Growth Stock Conference.</w:t>
      </w:r>
      <w:r>
        <w:rPr>
          <w:rFonts w:ascii="Calibri" w:hAnsi="Calibri"/>
          <w:color w:val="525866"/>
          <w:sz w:val="22"/>
        </w:rPr>
        <w:t xml:space="preserve"> CEO reaffirmed FY 2026 guidance ($18.5B–$19.25B revenue, $28.25–$29.75 EPS) and updated organic growth to 9%–13%. Noted the company "surprised ourselves on the revenue side" in Q1. Discussed GMP/cost-plus mix shift in mechanical as a deliberate strategic choice to penetrate new geographies. </w:t>
      </w:r>
      <w:r>
        <w:rPr>
          <w:rFonts w:ascii="Calibri" w:hAnsi="Calibri"/>
          <w:i/>
          <w:color w:val="525866"/>
          <w:sz w:val="22"/>
        </w:rPr>
        <w:t xml:space="preserve">Implication: </w:t>
      </w:r>
      <w:r>
        <w:rPr>
          <w:rFonts w:ascii="Calibri" w:hAnsi="Calibri"/>
          <w:i/>
          <w:color w:val="525866"/>
          <w:sz w:val="22"/>
        </w:rPr>
        <w:t>No negative guidance revision; tone remained confident. The conference did not re-rate the stock, suggesting the market needs a clean print rather than conference commentary to rebuild conviction.</w:t>
      </w:r>
    </w:p>
    <w:p>
      <w:pPr>
        <w:pStyle w:val="ListBullet"/>
        <w:ind w:left="360" w:hanging="360"/>
      </w:pPr>
      <w:r>
        <w:rPr>
          <w:rFonts w:ascii="Calibri" w:hAnsi="Calibri"/>
          <w:b/>
          <w:color w:val="525866"/>
          <w:sz w:val="22"/>
        </w:rPr>
        <w:t>June 3, 2026 — Sterling Infrastructure (STRL) presents at William Blair conference.</w:t>
      </w:r>
      <w:r>
        <w:rPr>
          <w:rFonts w:ascii="Calibri" w:hAnsi="Calibri"/>
          <w:color w:val="525866"/>
          <w:sz w:val="22"/>
        </w:rPr>
        <w:t xml:space="preserve"> CEO described data center site sizes expanding from ~1,000 acres today to 3,000–4,000 acres in 2027–2028, with future generations potentially reaching 10,000+ acres. Noted hyperscalers are now sharing 3–5 year build plans. </w:t>
      </w:r>
      <w:r>
        <w:rPr>
          <w:rFonts w:ascii="Calibri" w:hAnsi="Calibri"/>
          <w:i/>
          <w:color w:val="525866"/>
          <w:sz w:val="22"/>
        </w:rPr>
        <w:t xml:space="preserve">Implication: </w:t>
      </w:r>
      <w:r>
        <w:rPr>
          <w:rFonts w:ascii="Calibri" w:hAnsi="Calibri"/>
          <w:i/>
          <w:color w:val="525866"/>
          <w:sz w:val="22"/>
        </w:rPr>
        <w:t>Corroborates EME’s data center demand visibility; the scale-up in project size is a tailwind for EME’s large-project execution capabilities.</w:t>
      </w:r>
    </w:p>
    <w:p>
      <w:pPr>
        <w:pStyle w:val="ListBullet"/>
        <w:ind w:left="360" w:hanging="360"/>
      </w:pPr>
      <w:r>
        <w:rPr>
          <w:rFonts w:ascii="Calibri" w:hAnsi="Calibri"/>
          <w:b/>
          <w:color w:val="525866"/>
          <w:sz w:val="22"/>
        </w:rPr>
        <w:t>July 29, 2026 — Tetra Tech (TTEK) reports Q3 FY2026 results (quarter ended June 28, 2026).</w:t>
      </w:r>
      <w:r>
        <w:rPr>
          <w:rFonts w:ascii="Calibri" w:hAnsi="Calibri"/>
          <w:color w:val="525866"/>
          <w:sz w:val="22"/>
        </w:rPr>
        <w:t xml:space="preserve"> Reported strong double-digit growth in U.S. federal and international end markets; backlog up 5% sequentially to $4.49B; secured a hyperscale AI data center power system digital automation contract. </w:t>
      </w:r>
      <w:r>
        <w:rPr>
          <w:rFonts w:ascii="Calibri" w:hAnsi="Calibri"/>
          <w:i/>
          <w:color w:val="525866"/>
          <w:sz w:val="22"/>
        </w:rPr>
        <w:t xml:space="preserve">Implication: </w:t>
      </w:r>
      <w:r>
        <w:rPr>
          <w:rFonts w:ascii="Calibri" w:hAnsi="Calibri"/>
          <w:i/>
          <w:color w:val="525866"/>
          <w:sz w:val="22"/>
        </w:rPr>
        <w:t>Positive read-through for EME’s water/wastewater and federal infrastructure segments; data center demand remains robust across the engineering services ecosystem.</w:t>
      </w:r>
    </w:p>
    <w:p>
      <w:pPr>
        <w:pStyle w:val="ListBullet"/>
        <w:ind w:left="360" w:hanging="360"/>
      </w:pPr>
      <w:r>
        <w:rPr>
          <w:rFonts w:ascii="Calibri" w:hAnsi="Calibri"/>
          <w:b/>
          <w:color w:val="525866"/>
          <w:sz w:val="22"/>
        </w:rPr>
        <w:t>July 8, 2026 — Dycom Industries (DY) presents at Guggenheim Securities Virtual Fireside Chat.</w:t>
      </w:r>
      <w:r>
        <w:rPr>
          <w:rFonts w:ascii="Calibri" w:hAnsi="Calibri"/>
          <w:color w:val="525866"/>
          <w:sz w:val="22"/>
        </w:rPr>
        <w:t xml:space="preserve"> CEO stated data center demand is "absolutely insatiable" and conversations with customers are "only hotter than they were six months ago." Power Solutions segment (90%+ data center) growing at 35%. Noted the company is turning away opportunities due to labor constraints. </w:t>
      </w:r>
      <w:r>
        <w:rPr>
          <w:rFonts w:ascii="Calibri" w:hAnsi="Calibri"/>
          <w:i/>
          <w:color w:val="525866"/>
          <w:sz w:val="22"/>
        </w:rPr>
        <w:t xml:space="preserve">Implication: </w:t>
      </w:r>
      <w:r>
        <w:rPr>
          <w:rFonts w:ascii="Calibri" w:hAnsi="Calibri"/>
          <w:i/>
          <w:color w:val="525866"/>
          <w:sz w:val="22"/>
        </w:rPr>
        <w:t>Confirms the demand environment for data center electrical work remains robust; labor scarcity commentary is consistent with EME’s field leadership bottleneck narrative.</w:t>
      </w:r>
    </w:p>
    <w:p>
      <w:pPr>
        <w:pStyle w:val="ListBullet"/>
        <w:ind w:left="360" w:hanging="360"/>
      </w:pPr>
      <w:r>
        <w:rPr>
          <w:rFonts w:ascii="Calibri" w:hAnsi="Calibri"/>
          <w:b/>
          <w:color w:val="525866"/>
          <w:sz w:val="22"/>
        </w:rPr>
        <w:t>April 29, 2026 — EME Q1 2026 earnings: record quarterly revenue ($4.63B), record RPOs ($15.62B, +32.9% YoY), raised FY guidance.</w:t>
      </w:r>
      <w:r>
        <w:rPr>
          <w:rFonts w:ascii="Calibri" w:hAnsi="Calibri"/>
          <w:color w:val="525866"/>
          <w:sz w:val="22"/>
        </w:rPr>
        <w:t xml:space="preserve"> Stock rose sharply pre-market but closed modestly lower on the day despite large beats, signaling the bar had been set very high. </w:t>
      </w:r>
      <w:r>
        <w:rPr>
          <w:rFonts w:ascii="Calibri" w:hAnsi="Calibri"/>
          <w:i/>
          <w:color w:val="525866"/>
          <w:sz w:val="22"/>
        </w:rPr>
        <w:t xml:space="preserve">Implication: </w:t>
      </w:r>
      <w:r>
        <w:rPr>
          <w:rFonts w:ascii="Calibri" w:hAnsi="Calibri"/>
          <w:i/>
          <w:color w:val="525866"/>
          <w:sz w:val="22"/>
        </w:rPr>
        <w:t>The negative stock reaction on a large beat established the pattern of multiple compression that has continued through July.</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All insider activity since Q1 earnings has been open-market sales — no buys — with the cluster of sales immediately following the Q1 earnings print (April 30) likely representing post-blackout discretionary selling at elevated prices near the stock’s recent highs. No 10b5-1 plans were flagged. The absence of any insider buying during the subsequent ~19% stock decline is a mild negative signal, though not alarming given the sales were at much higher prices.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Schwarzwaelder, Steven</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5,602</w:t>
            </w:r>
          </w:p>
        </w:tc>
        <w:tc>
          <w:tcPr>
            <w:tcW w:type="dxa" w:w="1234"/>
          </w:tcPr>
          <w:p>
            <w:r>
              <w:rPr>
                <w:rFonts w:ascii="Calibri" w:hAnsi="Calibri"/>
                <w:sz w:val="22"/>
              </w:rPr>
              <w:t>Apr 30, 2026</w:t>
            </w:r>
          </w:p>
        </w:tc>
        <w:tc>
          <w:tcPr>
            <w:tcW w:type="dxa" w:w="1234"/>
          </w:tcPr>
          <w:p>
            <w:r>
              <w:rPr>
                <w:rFonts w:ascii="Calibri" w:hAnsi="Calibri"/>
                <w:sz w:val="22"/>
              </w:rPr>
              <w:t>May 4, 2026</w:t>
            </w:r>
          </w:p>
        </w:tc>
        <w:tc>
          <w:tcPr>
            <w:tcW w:type="dxa" w:w="1234"/>
          </w:tcPr>
          <w:p>
            <w:r>
              <w:rPr>
                <w:rFonts w:ascii="Calibri" w:hAnsi="Calibri"/>
                <w:sz w:val="22"/>
              </w:rPr>
              <w:t>Largest sale in the cluster; discretionary; sold near post-earnings high (~$891). No 10b5-1 plan.</w:t>
            </w:r>
          </w:p>
        </w:tc>
      </w:tr>
      <w:tr>
        <w:tc>
          <w:tcPr>
            <w:tcW w:type="dxa" w:w="1234"/>
          </w:tcPr>
          <w:p>
            <w:r>
              <w:rPr>
                <w:rFonts w:ascii="Calibri" w:hAnsi="Calibri"/>
                <w:sz w:val="22"/>
              </w:rPr>
              <w:t>Nalbandian, Jason R</w:t>
            </w:r>
          </w:p>
        </w:tc>
        <w:tc>
          <w:tcPr>
            <w:tcW w:type="dxa" w:w="1234"/>
          </w:tcPr>
          <w:p>
            <w:r>
              <w:rPr>
                <w:rFonts w:ascii="Calibri" w:hAnsi="Calibri"/>
                <w:sz w:val="22"/>
              </w:rPr>
              <w:t>SVP, CFO, Chief Acct. Officer</w:t>
            </w:r>
          </w:p>
        </w:tc>
        <w:tc>
          <w:tcPr>
            <w:tcW w:type="dxa" w:w="1234"/>
          </w:tcPr>
          <w:p>
            <w:r>
              <w:rPr>
                <w:rFonts w:ascii="Calibri" w:hAnsi="Calibri"/>
                <w:sz w:val="22"/>
              </w:rPr>
              <w:t>Open Market Sale</w:t>
            </w:r>
          </w:p>
        </w:tc>
        <w:tc>
          <w:tcPr>
            <w:tcW w:type="dxa" w:w="1234"/>
          </w:tcPr>
          <w:p>
            <w:r>
              <w:rPr>
                <w:rFonts w:ascii="Calibri" w:hAnsi="Calibri"/>
                <w:sz w:val="22"/>
              </w:rPr>
              <w:t>800</w:t>
            </w:r>
          </w:p>
        </w:tc>
        <w:tc>
          <w:tcPr>
            <w:tcW w:type="dxa" w:w="1234"/>
          </w:tcPr>
          <w:p>
            <w:r>
              <w:rPr>
                <w:rFonts w:ascii="Calibri" w:hAnsi="Calibri"/>
                <w:sz w:val="22"/>
              </w:rPr>
              <w:t>Apr 30, 2026</w:t>
            </w:r>
          </w:p>
        </w:tc>
        <w:tc>
          <w:tcPr>
            <w:tcW w:type="dxa" w:w="1234"/>
          </w:tcPr>
          <w:p>
            <w:r>
              <w:rPr>
                <w:rFonts w:ascii="Calibri" w:hAnsi="Calibri"/>
                <w:sz w:val="22"/>
              </w:rPr>
              <w:t>May 4, 2026</w:t>
            </w:r>
          </w:p>
        </w:tc>
        <w:tc>
          <w:tcPr>
            <w:tcW w:type="dxa" w:w="1234"/>
          </w:tcPr>
          <w:p>
            <w:r>
              <w:rPr>
                <w:rFonts w:ascii="Calibri" w:hAnsi="Calibri"/>
                <w:sz w:val="22"/>
              </w:rPr>
              <w:t>CFO sale immediately post-earnings; discretionary; no 10b5-1 plan flagged.</w:t>
            </w:r>
          </w:p>
        </w:tc>
      </w:tr>
      <w:tr>
        <w:tc>
          <w:tcPr>
            <w:tcW w:type="dxa" w:w="1234"/>
          </w:tcPr>
          <w:p>
            <w:r>
              <w:rPr>
                <w:rFonts w:ascii="Calibri" w:hAnsi="Calibri"/>
                <w:sz w:val="22"/>
              </w:rPr>
              <w:t>Lind, Robert Peter</w:t>
            </w:r>
          </w:p>
        </w:tc>
        <w:tc>
          <w:tcPr>
            <w:tcW w:type="dxa" w:w="1234"/>
          </w:tcPr>
          <w:p>
            <w:r>
              <w:rPr>
                <w:rFonts w:ascii="Calibri" w:hAnsi="Calibri"/>
                <w:sz w:val="22"/>
              </w:rPr>
              <w:t>VP and Controller</w:t>
            </w:r>
          </w:p>
        </w:tc>
        <w:tc>
          <w:tcPr>
            <w:tcW w:type="dxa" w:w="1234"/>
          </w:tcPr>
          <w:p>
            <w:r>
              <w:rPr>
                <w:rFonts w:ascii="Calibri" w:hAnsi="Calibri"/>
                <w:sz w:val="22"/>
              </w:rPr>
              <w:t>Open Market Sale</w:t>
            </w:r>
          </w:p>
        </w:tc>
        <w:tc>
          <w:tcPr>
            <w:tcW w:type="dxa" w:w="1234"/>
          </w:tcPr>
          <w:p>
            <w:r>
              <w:rPr>
                <w:rFonts w:ascii="Calibri" w:hAnsi="Calibri"/>
                <w:sz w:val="22"/>
              </w:rPr>
              <w:t>675</w:t>
            </w:r>
          </w:p>
        </w:tc>
        <w:tc>
          <w:tcPr>
            <w:tcW w:type="dxa" w:w="1234"/>
          </w:tcPr>
          <w:p>
            <w:r>
              <w:rPr>
                <w:rFonts w:ascii="Calibri" w:hAnsi="Calibri"/>
                <w:sz w:val="22"/>
              </w:rPr>
              <w:t>Apr 30, 2026</w:t>
            </w:r>
          </w:p>
        </w:tc>
        <w:tc>
          <w:tcPr>
            <w:tcW w:type="dxa" w:w="1234"/>
          </w:tcPr>
          <w:p>
            <w:r>
              <w:rPr>
                <w:rFonts w:ascii="Calibri" w:hAnsi="Calibri"/>
                <w:sz w:val="22"/>
              </w:rPr>
              <w:t>May 4, 2026</w:t>
            </w:r>
          </w:p>
        </w:tc>
        <w:tc>
          <w:tcPr>
            <w:tcW w:type="dxa" w:w="1234"/>
          </w:tcPr>
          <w:p>
            <w:r>
              <w:rPr>
                <w:rFonts w:ascii="Calibri" w:hAnsi="Calibri"/>
                <w:sz w:val="22"/>
              </w:rPr>
              <w:t>Discretionary; no 10b5-1 plan flagged.</w:t>
            </w:r>
          </w:p>
        </w:tc>
      </w:tr>
      <w:tr>
        <w:tc>
          <w:tcPr>
            <w:tcW w:type="dxa" w:w="1234"/>
          </w:tcPr>
          <w:p>
            <w:r>
              <w:rPr>
                <w:rFonts w:ascii="Calibri" w:hAnsi="Calibri"/>
                <w:sz w:val="22"/>
              </w:rPr>
              <w:t>Altmeyer, John W</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2,500</w:t>
            </w:r>
          </w:p>
        </w:tc>
        <w:tc>
          <w:tcPr>
            <w:tcW w:type="dxa" w:w="1234"/>
          </w:tcPr>
          <w:p>
            <w:r>
              <w:rPr>
                <w:rFonts w:ascii="Calibri" w:hAnsi="Calibri"/>
                <w:sz w:val="22"/>
              </w:rPr>
              <w:t>May 1, 2026</w:t>
            </w:r>
          </w:p>
        </w:tc>
        <w:tc>
          <w:tcPr>
            <w:tcW w:type="dxa" w:w="1234"/>
          </w:tcPr>
          <w:p>
            <w:r>
              <w:rPr>
                <w:rFonts w:ascii="Calibri" w:hAnsi="Calibri"/>
                <w:sz w:val="22"/>
              </w:rPr>
              <w:t>May 5, 2026</w:t>
            </w:r>
          </w:p>
        </w:tc>
        <w:tc>
          <w:tcPr>
            <w:tcW w:type="dxa" w:w="1234"/>
          </w:tcPr>
          <w:p>
            <w:r>
              <w:rPr>
                <w:rFonts w:ascii="Calibri" w:hAnsi="Calibri"/>
                <w:sz w:val="22"/>
              </w:rPr>
              <w:t>Discretionary; no 10b5-1 plan flagged.</w:t>
            </w:r>
          </w:p>
        </w:tc>
      </w:tr>
      <w:tr>
        <w:tc>
          <w:tcPr>
            <w:tcW w:type="dxa" w:w="1234"/>
          </w:tcPr>
          <w:p>
            <w:r>
              <w:rPr>
                <w:rFonts w:ascii="Calibri" w:hAnsi="Calibri"/>
                <w:sz w:val="22"/>
              </w:rPr>
              <w:t>Reid, William P</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2,000</w:t>
            </w:r>
          </w:p>
        </w:tc>
        <w:tc>
          <w:tcPr>
            <w:tcW w:type="dxa" w:w="1234"/>
          </w:tcPr>
          <w:p>
            <w:r>
              <w:rPr>
                <w:rFonts w:ascii="Calibri" w:hAnsi="Calibri"/>
                <w:sz w:val="22"/>
              </w:rPr>
              <w:t>May 11, 2026</w:t>
            </w:r>
          </w:p>
        </w:tc>
        <w:tc>
          <w:tcPr>
            <w:tcW w:type="dxa" w:w="1234"/>
          </w:tcPr>
          <w:p>
            <w:r>
              <w:rPr>
                <w:rFonts w:ascii="Calibri" w:hAnsi="Calibri"/>
                <w:sz w:val="22"/>
              </w:rPr>
              <w:t>May 13, 2026</w:t>
            </w:r>
          </w:p>
        </w:tc>
        <w:tc>
          <w:tcPr>
            <w:tcW w:type="dxa" w:w="1234"/>
          </w:tcPr>
          <w:p>
            <w:r>
              <w:rPr>
                <w:rFonts w:ascii="Calibri" w:hAnsi="Calibri"/>
                <w:sz w:val="22"/>
              </w:rPr>
              <w:t>Discretionary; no 10b5-1 plan flagged.</w:t>
            </w:r>
          </w:p>
        </w:tc>
      </w:tr>
      <w:tr>
        <w:tc>
          <w:tcPr>
            <w:tcW w:type="dxa" w:w="1234"/>
          </w:tcPr>
          <w:p>
            <w:r>
              <w:rPr>
                <w:rFonts w:ascii="Calibri" w:hAnsi="Calibri"/>
                <w:sz w:val="22"/>
              </w:rPr>
              <w:t>Lowe, Carol P</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950</w:t>
            </w:r>
          </w:p>
        </w:tc>
        <w:tc>
          <w:tcPr>
            <w:tcW w:type="dxa" w:w="1234"/>
          </w:tcPr>
          <w:p>
            <w:r>
              <w:rPr>
                <w:rFonts w:ascii="Calibri" w:hAnsi="Calibri"/>
                <w:sz w:val="22"/>
              </w:rPr>
              <w:t>Jun 17, 2026</w:t>
            </w:r>
          </w:p>
        </w:tc>
        <w:tc>
          <w:tcPr>
            <w:tcW w:type="dxa" w:w="1234"/>
          </w:tcPr>
          <w:p>
            <w:r>
              <w:rPr>
                <w:rFonts w:ascii="Calibri" w:hAnsi="Calibri"/>
                <w:sz w:val="22"/>
              </w:rPr>
              <w:t>Jun 18, 2026</w:t>
            </w:r>
          </w:p>
        </w:tc>
        <w:tc>
          <w:tcPr>
            <w:tcW w:type="dxa" w:w="1234"/>
          </w:tcPr>
          <w:p>
            <w:r>
              <w:rPr>
                <w:rFonts w:ascii="Calibri" w:hAnsi="Calibri"/>
                <w:sz w:val="22"/>
              </w:rPr>
              <w:t>Most recent sale; stock had already declined ~10% from post-earnings peak; discretionary; no 10b5-1 plan.</w:t>
            </w:r>
          </w:p>
        </w:tc>
      </w:tr>
    </w:tbl>
    <w:p>
      <w:r>
        <w:rPr>
          <w:rFonts w:ascii="Calibri" w:hAnsi="Calibri"/>
          <w:i/>
          <w:color w:val="525866"/>
          <w:sz w:val="22"/>
        </w:rPr>
        <w:t>Source: SEC Form 4 filings. All transactions are open-market sales (transaction code S, disposition type D). No open-market purchases were filed in the period. No 10b5-1 plan elections were flagged on any transaction.</w:t>
      </w:r>
    </w:p>
    <w:p>
      <w:r>
        <w:br w:type="page"/>
      </w:r>
    </w:p>
    <w:p>
      <w:pPr>
        <w:pStyle w:val="Heading1"/>
        <w:pBdr>
          <w:bottom w:val="single" w:sz="4" w:space="1" w:color="FB9120"/>
        </w:pBdr>
      </w:pPr>
      <w:r>
        <w:rPr>
          <w:rFonts w:ascii="Calibri" w:hAnsi="Calibri"/>
          <w:b/>
          <w:color w:val="3B4259"/>
          <w:sz w:val="40"/>
        </w:rPr>
        <w:t>8. Peer Commentary — Q2 2026 Current-Quarter Read-Through</w:t>
      </w:r>
    </w:p>
    <w:p>
      <w:r>
        <w:rPr>
          <w:rFonts w:ascii="Calibri" w:hAnsi="Calibri"/>
          <w:b/>
          <w:color w:val="525866"/>
          <w:sz w:val="22"/>
        </w:rPr>
        <w:t xml:space="preserve">Key Takeaway: </w:t>
      </w:r>
      <w:r>
        <w:rPr>
          <w:rFonts w:ascii="Calibri" w:hAnsi="Calibri"/>
          <w:color w:val="525866"/>
          <w:sz w:val="22"/>
        </w:rPr>
        <w:t xml:space="preserve">Peer commentary from the past 60 days is uniformly positive on data center demand — FIX’s record backlog and margin expansion, MTZ’s conviction on the data center cycle, STRL’s scale-up narrative, and DY’s "insatiable" demand language all corroborate EME’s Q2 setup. The one nuance is that </w:t>
      </w:r>
      <w:r>
        <w:rPr>
          <w:rFonts w:ascii="Calibri" w:hAnsi="Calibri"/>
          <w:b/>
          <w:color w:val="525866"/>
          <w:sz w:val="22"/>
        </w:rPr>
        <w:t>labor scarcity is tightening</w:t>
      </w:r>
      <w:r>
        <w:rPr>
          <w:rFonts w:ascii="Calibri" w:hAnsi="Calibri"/>
          <w:color w:val="525866"/>
          <w:sz w:val="22"/>
        </w:rPr>
        <w:t xml:space="preserve"> across the industry, which is consistent with EME’s field leadership bottleneck narrative but also means execution risk is real.</w:t>
      </w:r>
    </w:p>
    <w:p>
      <w:r>
        <w:rPr>
          <w:rFonts w:ascii="Calibri" w:hAnsi="Calibri"/>
          <w:b/>
          <w:color w:val="525866"/>
          <w:sz w:val="22"/>
        </w:rPr>
        <w:t xml:space="preserve">Methodology: </w:t>
      </w:r>
      <w:r>
        <w:rPr>
          <w:rFonts w:ascii="Calibri" w:hAnsi="Calibri"/>
          <w:i/>
          <w:color w:val="525866"/>
          <w:sz w:val="22"/>
        </w:rPr>
        <w:t>Only commentary from the past 60 days (on or after May 29, 2026) that addresses contemporaneous Q2 2026 (April–June 2026) or forward conditions is included. Prior-quarter result discussions (e.g., a peer’s Q1 2026 earnings commentary about Q1 results) are excluded. Each peer’s business mix differences from EME are noted.</w:t>
      </w:r>
    </w:p>
    <w:p>
      <w:pPr>
        <w:pStyle w:val="Heading2"/>
      </w:pPr>
      <w:r>
        <w:rPr>
          <w:rFonts w:ascii="Calibri" w:hAnsi="Calibri"/>
          <w:b/>
          <w:color w:val="3B4259"/>
          <w:sz w:val="28"/>
        </w:rPr>
        <w:t>Peer 1: Comfort Systems USA (FIX) — Q2 2026 Earnings Call, July 24, 2026</w:t>
      </w:r>
    </w:p>
    <w:p>
      <w:r>
        <w:rPr>
          <w:rFonts w:ascii="Calibri" w:hAnsi="Calibri"/>
          <w:b/>
          <w:color w:val="525866"/>
          <w:sz w:val="22"/>
        </w:rPr>
        <w:t xml:space="preserve">Read-Through Type: </w:t>
      </w:r>
      <w:r>
        <w:rPr>
          <w:rFonts w:ascii="Calibri" w:hAnsi="Calibri"/>
          <w:b/>
          <w:color w:val="30A46C"/>
          <w:sz w:val="22"/>
        </w:rPr>
        <w:t>Direct</w:t>
      </w:r>
      <w:r>
        <w:rPr>
          <w:rFonts w:ascii="Calibri" w:hAnsi="Calibri"/>
          <w:color w:val="525866"/>
          <w:sz w:val="22"/>
        </w:rPr>
        <w:t xml:space="preserve"> — FIX is a direct mechanical and electrical contractor with significant overlap with EME’s construction segments.</w:t>
      </w:r>
    </w:p>
    <w:p>
      <w:r>
        <w:rPr>
          <w:rFonts w:ascii="Calibri" w:hAnsi="Calibri"/>
          <w:b/>
          <w:color w:val="525866"/>
          <w:sz w:val="22"/>
        </w:rPr>
        <w:t xml:space="preserve">Business Mix Caveat: </w:t>
      </w:r>
      <w:r>
        <w:rPr>
          <w:rFonts w:ascii="Calibri" w:hAnsi="Calibri"/>
          <w:color w:val="525866"/>
          <w:sz w:val="22"/>
        </w:rPr>
        <w:t>FIX’s modular operations (17% of YTD revenue) are a larger share of its business than EME’s; FIX is more heavily weighted toward industrial/technology (75% of revenue) vs. EME’s more diversified mix. FIX’s margins (25.9% gross, 17.1% operating) are structurally higher than EME’s due to its modular premium and mix.</w:t>
      </w:r>
    </w:p>
    <w:p>
      <w:pPr>
        <w:pStyle w:val="ListBullet"/>
        <w:ind w:left="360" w:hanging="360"/>
      </w:pPr>
      <w:r>
        <w:rPr>
          <w:rFonts w:ascii="Calibri" w:hAnsi="Calibri"/>
          <w:b/>
          <w:color w:val="525866"/>
          <w:sz w:val="22"/>
        </w:rPr>
        <w:t xml:space="preserve">Data Center Demand (Q2 2026): </w:t>
      </w:r>
      <w:r>
        <w:rPr>
          <w:rFonts w:ascii="Calibri" w:hAnsi="Calibri"/>
          <w:color w:val="525866"/>
          <w:sz w:val="22"/>
        </w:rPr>
        <w:t>"Demand remains strong, especially in technology" — technology (data centers) was 58% of FIX’s H1 2026 revenue, up from 40% in the prior year. Q2 bookings were "especially strong in the technology sector, both in our construction business as well as modular offerings." Backlog reached a new high of $14.1B (+73% YoY, +13% sequentially). Management expressed "no letdown whatsoever" in hyperscaler build plans.</w:t>
      </w:r>
    </w:p>
    <w:p>
      <w:pPr>
        <w:pStyle w:val="ListBullet"/>
        <w:ind w:left="360" w:hanging="360"/>
      </w:pPr>
      <w:r>
        <w:rPr>
          <w:rFonts w:ascii="Calibri" w:hAnsi="Calibri"/>
          <w:b/>
          <w:color w:val="525866"/>
          <w:sz w:val="22"/>
        </w:rPr>
        <w:t xml:space="preserve">Margins (Q2 2026): </w:t>
      </w:r>
      <w:r>
        <w:rPr>
          <w:rFonts w:ascii="Calibri" w:hAnsi="Calibri"/>
          <w:color w:val="525866"/>
          <w:sz w:val="22"/>
        </w:rPr>
        <w:t>Gross profit margin expanded to 25.9% (vs. 23.5% in Q2 2025); mechanical segment gross margin jumped to 25.6% (vs. 22.9%); electrical segment margins increased to 26.4% (vs. 25.3%). Management believes margins are "likely to continue in the strong ranges that we have averaged in recent quarters." Operating margin surged to 17.1% from 13.8%.</w:t>
      </w:r>
    </w:p>
    <w:p>
      <w:pPr>
        <w:pStyle w:val="ListBullet"/>
        <w:ind w:left="360" w:hanging="360"/>
      </w:pPr>
      <w:r>
        <w:rPr>
          <w:rFonts w:ascii="Calibri" w:hAnsi="Calibri"/>
          <w:b/>
          <w:color w:val="525866"/>
          <w:sz w:val="22"/>
        </w:rPr>
        <w:t xml:space="preserve">Electrical/Mechanical Construction: </w:t>
      </w:r>
      <w:r>
        <w:rPr>
          <w:rFonts w:ascii="Calibri" w:hAnsi="Calibri"/>
          <w:color w:val="525866"/>
          <w:sz w:val="22"/>
        </w:rPr>
        <w:t>Electrical segment revenue grew 81% YoY; mechanical segment revenue grew 40% YoY. Same-store revenue growth of 44% in Q2. Full-year same-store growth expected in the "mid to high 30% range."</w:t>
      </w:r>
    </w:p>
    <w:p>
      <w:pPr>
        <w:pStyle w:val="ListBullet"/>
        <w:ind w:left="360" w:hanging="360"/>
      </w:pPr>
      <w:r>
        <w:rPr>
          <w:rFonts w:ascii="Calibri" w:hAnsi="Calibri"/>
          <w:b/>
          <w:color w:val="525866"/>
          <w:sz w:val="22"/>
        </w:rPr>
        <w:t xml:space="preserve">EME Read-Through: </w:t>
      </w:r>
      <w:r>
        <w:rPr>
          <w:rFonts w:ascii="Calibri" w:hAnsi="Calibri"/>
          <w:color w:val="525866"/>
          <w:sz w:val="22"/>
        </w:rPr>
        <w:t>Strongly positive for EME’s electrical and mechanical construction segments. FIX’s margin expansion in both segments is a positive signal for the industry pricing environment and suggests EME’s mechanical margin recovery from Q1’s 10.9% is achievable. The record backlog and strong bookings corroborate EME’s RPO visibility narrative.</w:t>
      </w:r>
    </w:p>
    <w:p>
      <w:pPr>
        <w:pStyle w:val="Heading2"/>
      </w:pPr>
      <w:r>
        <w:rPr>
          <w:rFonts w:ascii="Calibri" w:hAnsi="Calibri"/>
          <w:b/>
          <w:color w:val="3B4259"/>
          <w:sz w:val="28"/>
        </w:rPr>
        <w:t>Peer 2: MasTec (MTZ) — Superior Group Acquisition Conference Call, July 8, 2026</w:t>
      </w:r>
    </w:p>
    <w:p>
      <w:r>
        <w:rPr>
          <w:rFonts w:ascii="Calibri" w:hAnsi="Calibri"/>
          <w:b/>
          <w:color w:val="525866"/>
          <w:sz w:val="22"/>
        </w:rPr>
        <w:t xml:space="preserve">Read-Through Type: </w:t>
      </w:r>
      <w:r>
        <w:rPr>
          <w:rFonts w:ascii="Calibri" w:hAnsi="Calibri"/>
          <w:b/>
          <w:color w:val="30A46C"/>
          <w:sz w:val="22"/>
        </w:rPr>
        <w:t>Direct</w:t>
      </w:r>
      <w:r>
        <w:rPr>
          <w:rFonts w:ascii="Calibri" w:hAnsi="Calibri"/>
          <w:color w:val="525866"/>
          <w:sz w:val="22"/>
        </w:rPr>
        <w:t xml:space="preserve"> — Superior Group is a direct electrical infrastructure contractor serving data centers and mission-critical facilities, the same market as EME’s electrical construction segment.</w:t>
      </w:r>
    </w:p>
    <w:p>
      <w:r>
        <w:rPr>
          <w:rFonts w:ascii="Calibri" w:hAnsi="Calibri"/>
          <w:b/>
          <w:color w:val="525866"/>
          <w:sz w:val="22"/>
        </w:rPr>
        <w:t xml:space="preserve">Business Mix Caveat: </w:t>
      </w:r>
      <w:r>
        <w:rPr>
          <w:rFonts w:ascii="Calibri" w:hAnsi="Calibri"/>
          <w:color w:val="525866"/>
          <w:sz w:val="22"/>
        </w:rPr>
        <w:t>MTZ’s core business is telecom/utility infrastructure; Superior Group is the data center electrical piece. Superior is "all union" labor, whereas EME operates with a mix. The acquisition commentary reflects MTZ’s strategic conviction rather than current-quarter operating results.</w:t>
      </w:r>
    </w:p>
    <w:p>
      <w:pPr>
        <w:pStyle w:val="ListBullet"/>
        <w:ind w:left="360" w:hanging="360"/>
      </w:pPr>
      <w:r>
        <w:rPr>
          <w:rFonts w:ascii="Calibri" w:hAnsi="Calibri"/>
          <w:b/>
          <w:color w:val="525866"/>
          <w:sz w:val="22"/>
        </w:rPr>
        <w:t xml:space="preserve">Data Center Demand (Current): </w:t>
      </w:r>
      <w:r>
        <w:rPr>
          <w:rFonts w:ascii="Calibri" w:hAnsi="Calibri"/>
          <w:color w:val="525866"/>
          <w:sz w:val="22"/>
        </w:rPr>
        <w:t>MTZ CEO Jose Mas stated the data center market is "bigger than people think" and "in the very early end of that cycle, with tremendous, tremendous upside." The company spent significant time with hyperscalers and their advisors and came away with "an understanding that this market, in our opinion, is bigger than people think. It’s got longer legs than people think."</w:t>
      </w:r>
    </w:p>
    <w:p>
      <w:pPr>
        <w:pStyle w:val="ListBullet"/>
        <w:ind w:left="360" w:hanging="360"/>
      </w:pPr>
      <w:r>
        <w:rPr>
          <w:rFonts w:ascii="Calibri" w:hAnsi="Calibri"/>
          <w:b/>
          <w:color w:val="525866"/>
          <w:sz w:val="22"/>
        </w:rPr>
        <w:t xml:space="preserve">Demand Durability: </w:t>
      </w:r>
      <w:r>
        <w:rPr>
          <w:rFonts w:ascii="Calibri" w:hAnsi="Calibri"/>
          <w:color w:val="525866"/>
          <w:sz w:val="22"/>
        </w:rPr>
        <w:t>"The continued growth of AI, cloud computing, and digital infrastructure is driving unprecedented investment across each of these markets, and we believe those trends remain in the early stages." Meeting this demand "will require enormous investment not only inside the data centers, but across the entire electrical and power infrastructure ecosystem."</w:t>
      </w:r>
    </w:p>
    <w:p>
      <w:pPr>
        <w:pStyle w:val="ListBullet"/>
        <w:ind w:left="360" w:hanging="360"/>
      </w:pPr>
      <w:r>
        <w:rPr>
          <w:rFonts w:ascii="Calibri" w:hAnsi="Calibri"/>
          <w:b/>
          <w:color w:val="525866"/>
          <w:sz w:val="22"/>
        </w:rPr>
        <w:t xml:space="preserve">Labor as Competitive Moat: </w:t>
      </w:r>
      <w:r>
        <w:rPr>
          <w:rFonts w:ascii="Calibri" w:hAnsi="Calibri"/>
          <w:color w:val="525866"/>
          <w:sz w:val="22"/>
        </w:rPr>
        <w:t>"Access to skilled labor continues to be one of the most important competitive advantages in our industry." The deal is described as "a bet on labor scarcity" — Superior’s workforce grew ~400% over the last few years. "Skilled labor is increasingly becoming the limiting factor for project execution."</w:t>
      </w:r>
    </w:p>
    <w:p>
      <w:pPr>
        <w:pStyle w:val="ListBullet"/>
        <w:ind w:left="360" w:hanging="360"/>
      </w:pPr>
      <w:r>
        <w:rPr>
          <w:rFonts w:ascii="Calibri" w:hAnsi="Calibri"/>
          <w:b/>
          <w:color w:val="525866"/>
          <w:sz w:val="22"/>
        </w:rPr>
        <w:t xml:space="preserve">Backlog/Visibility: </w:t>
      </w:r>
      <w:r>
        <w:rPr>
          <w:rFonts w:ascii="Calibri" w:hAnsi="Calibri"/>
          <w:color w:val="525866"/>
          <w:sz w:val="22"/>
        </w:rPr>
        <w:t>Superior’s backlog of $1.4B is expected to "grow significantly through the balance of the year." MTZ has "enormous conviction" over Superior’s 2027 numbers (40–50% revenue growth) and "enormous amount of visibility" beyond 2027, with "conversations with customers many, many years out on specific projects."</w:t>
      </w:r>
    </w:p>
    <w:p>
      <w:pPr>
        <w:pStyle w:val="ListBullet"/>
        <w:ind w:left="360" w:hanging="360"/>
      </w:pPr>
      <w:r>
        <w:rPr>
          <w:rFonts w:ascii="Calibri" w:hAnsi="Calibri"/>
          <w:b/>
          <w:color w:val="525866"/>
          <w:sz w:val="22"/>
        </w:rPr>
        <w:t xml:space="preserve">EME Read-Through: </w:t>
      </w:r>
      <w:r>
        <w:rPr>
          <w:rFonts w:ascii="Calibri" w:hAnsi="Calibri"/>
          <w:color w:val="525866"/>
          <w:sz w:val="22"/>
        </w:rPr>
        <w:t>Strongly positive for EME’s data center electrical construction thesis. MTZ’s willingness to pay a premium for electrical data center capacity validates the scarcity value of EME’s existing position. The labor scarcity narrative is a double-edged sword — it supports EME’s competitive moat but also confirms execution constraints are real.</w:t>
      </w:r>
    </w:p>
    <w:p>
      <w:pPr>
        <w:pStyle w:val="Heading2"/>
      </w:pPr>
      <w:r>
        <w:rPr>
          <w:rFonts w:ascii="Calibri" w:hAnsi="Calibri"/>
          <w:b/>
          <w:color w:val="3B4259"/>
          <w:sz w:val="28"/>
        </w:rPr>
        <w:t>Peer 3: Sterling Infrastructure (STRL) — William Blair Growth Stock Conference, June 3, 2026</w:t>
      </w:r>
    </w:p>
    <w:p>
      <w:r>
        <w:rPr>
          <w:rFonts w:ascii="Calibri" w:hAnsi="Calibri"/>
          <w:b/>
          <w:color w:val="525866"/>
          <w:sz w:val="22"/>
        </w:rPr>
        <w:t xml:space="preserve">Read-Through Type: </w:t>
      </w:r>
      <w:r>
        <w:rPr>
          <w:rFonts w:ascii="Calibri" w:hAnsi="Calibri"/>
          <w:b/>
          <w:color w:val="525866"/>
          <w:sz w:val="22"/>
        </w:rPr>
        <w:t>Indirect</w:t>
      </w:r>
      <w:r>
        <w:rPr>
          <w:rFonts w:ascii="Calibri" w:hAnsi="Calibri"/>
          <w:color w:val="525866"/>
          <w:sz w:val="22"/>
        </w:rPr>
        <w:t xml:space="preserve"> — STRL is primarily a civil/site development contractor that has recently entered electrical services; its data center commentary is relevant to EME’s end market but STRL does not directly compete in mechanical or building services.</w:t>
      </w:r>
    </w:p>
    <w:p>
      <w:r>
        <w:rPr>
          <w:rFonts w:ascii="Calibri" w:hAnsi="Calibri"/>
          <w:b/>
          <w:color w:val="525866"/>
          <w:sz w:val="22"/>
        </w:rPr>
        <w:t xml:space="preserve">Business Mix Caveat: </w:t>
      </w:r>
      <w:r>
        <w:rPr>
          <w:rFonts w:ascii="Calibri" w:hAnsi="Calibri"/>
          <w:color w:val="525866"/>
          <w:sz w:val="22"/>
        </w:rPr>
        <w:t>STRL’s electrical business (CSC acquisition) is nascent and capacity-constrained; its core business is heavy civil site development. Margins and contract structures differ materially from EME’s.</w:t>
      </w:r>
    </w:p>
    <w:p>
      <w:pPr>
        <w:pStyle w:val="ListBullet"/>
        <w:ind w:left="360" w:hanging="360"/>
      </w:pPr>
      <w:r>
        <w:rPr>
          <w:rFonts w:ascii="Calibri" w:hAnsi="Calibri"/>
          <w:b/>
          <w:color w:val="525866"/>
          <w:sz w:val="22"/>
        </w:rPr>
        <w:t xml:space="preserve">Data Center Scale-Up (Current/Forward): </w:t>
      </w:r>
      <w:r>
        <w:rPr>
          <w:rFonts w:ascii="Calibri" w:hAnsi="Calibri"/>
          <w:color w:val="525866"/>
          <w:sz w:val="22"/>
        </w:rPr>
        <w:t>CEO Joe Cotillo described data center demand as "trillions of dollars" of activity. Site sizes are expanding from ~1,000 acres today to 3,000–4,000 acres in 2027–2028, driven by self-power generation requirements. Hyperscalers are now sharing 3–5 year build plans with contractors — a qualitative deepening of customer relationships consistent with EME’s commentary.</w:t>
      </w:r>
    </w:p>
    <w:p>
      <w:pPr>
        <w:pStyle w:val="ListBullet"/>
        <w:ind w:left="360" w:hanging="360"/>
      </w:pPr>
      <w:r>
        <w:rPr>
          <w:rFonts w:ascii="Calibri" w:hAnsi="Calibri"/>
          <w:b/>
          <w:color w:val="525866"/>
          <w:sz w:val="22"/>
        </w:rPr>
        <w:t xml:space="preserve">Electrical Demand Outstripping Supply: </w:t>
      </w:r>
      <w:r>
        <w:rPr>
          <w:rFonts w:ascii="Calibri" w:hAnsi="Calibri"/>
          <w:color w:val="525866"/>
          <w:sz w:val="22"/>
        </w:rPr>
        <w:t>STRL filled CSC’s electrical capacity "in three months" after acquisition and is "trying like hell to grow their capacity as fast as we can." "If we had more capacity, we’d be on 5 or 6" joint projects — demand is the limiter, not supply of work.</w:t>
      </w:r>
    </w:p>
    <w:p>
      <w:pPr>
        <w:pStyle w:val="ListBullet"/>
        <w:ind w:left="360" w:hanging="360"/>
      </w:pPr>
      <w:r>
        <w:rPr>
          <w:rFonts w:ascii="Calibri" w:hAnsi="Calibri"/>
          <w:b/>
          <w:color w:val="525866"/>
          <w:sz w:val="22"/>
        </w:rPr>
        <w:t xml:space="preserve">Labor Constraints: </w:t>
      </w:r>
      <w:r>
        <w:rPr>
          <w:rFonts w:ascii="Calibri" w:hAnsi="Calibri"/>
          <w:color w:val="525866"/>
          <w:sz w:val="22"/>
        </w:rPr>
        <w:t>"Pure number of certified electricians out there in the world is not unlimited." STRL is employing prefabrication, acquisitions of small shops, and internal training to address constraints. Factory labor is "roughly half the price of an electrician in the field."</w:t>
      </w:r>
    </w:p>
    <w:p>
      <w:pPr>
        <w:pStyle w:val="ListBullet"/>
        <w:ind w:left="360" w:hanging="360"/>
      </w:pPr>
      <w:r>
        <w:rPr>
          <w:rFonts w:ascii="Calibri" w:hAnsi="Calibri"/>
          <w:b/>
          <w:color w:val="525866"/>
          <w:sz w:val="22"/>
        </w:rPr>
        <w:t xml:space="preserve">EME Read-Through: </w:t>
      </w:r>
      <w:r>
        <w:rPr>
          <w:rFonts w:ascii="Calibri" w:hAnsi="Calibri"/>
          <w:color w:val="525866"/>
          <w:sz w:val="22"/>
        </w:rPr>
        <w:t>Positive for EME’s data center electrical construction demand outlook. The scale-up in project size is a tailwind for EME’s large-project execution capabilities and prefabrication investments. Labor scarcity commentary reinforces EME’s field leadership bottleneck narrative.</w:t>
      </w:r>
    </w:p>
    <w:p>
      <w:pPr>
        <w:pStyle w:val="Heading2"/>
      </w:pPr>
      <w:r>
        <w:rPr>
          <w:rFonts w:ascii="Calibri" w:hAnsi="Calibri"/>
          <w:b/>
          <w:color w:val="3B4259"/>
          <w:sz w:val="28"/>
        </w:rPr>
        <w:t>Peer 4: Dycom Industries (DY) — Guggenheim Securities Virtual Fireside Chat, July 8, 2026</w:t>
      </w:r>
    </w:p>
    <w:p>
      <w:r>
        <w:rPr>
          <w:rFonts w:ascii="Calibri" w:hAnsi="Calibri"/>
          <w:b/>
          <w:color w:val="525866"/>
          <w:sz w:val="22"/>
        </w:rPr>
        <w:t xml:space="preserve">Read-Through Type: </w:t>
      </w:r>
      <w:r>
        <w:rPr>
          <w:rFonts w:ascii="Calibri" w:hAnsi="Calibri"/>
          <w:b/>
          <w:color w:val="525866"/>
          <w:sz w:val="22"/>
        </w:rPr>
        <w:t>Indirect</w:t>
      </w:r>
      <w:r>
        <w:rPr>
          <w:rFonts w:ascii="Calibri" w:hAnsi="Calibri"/>
          <w:color w:val="525866"/>
          <w:sz w:val="22"/>
        </w:rPr>
        <w:t xml:space="preserve"> — DY is primarily a telecom infrastructure contractor (fiber networks); its Power Solutions segment (90%+ data center) is the most relevant read-through for EME, but DY’s core business model (unit-based pricing, telecom focus) differs materially from EME’s.</w:t>
      </w:r>
    </w:p>
    <w:p>
      <w:r>
        <w:rPr>
          <w:rFonts w:ascii="Calibri" w:hAnsi="Calibri"/>
          <w:b/>
          <w:color w:val="525866"/>
          <w:sz w:val="22"/>
        </w:rPr>
        <w:t xml:space="preserve">Business Mix Caveat: </w:t>
      </w:r>
      <w:r>
        <w:rPr>
          <w:rFonts w:ascii="Calibri" w:hAnsi="Calibri"/>
          <w:color w:val="525866"/>
          <w:sz w:val="22"/>
        </w:rPr>
        <w:t>DY’s communications work is unit-priced (per foot/per mile) vs. EME’s fixed-price/GMP construction contracts. DY’s Power Solutions segment is the most comparable piece, but it is a smaller portion of DY’s total revenue. DY’s BEAD program exposure is not relevant to EME.</w:t>
      </w:r>
    </w:p>
    <w:p>
      <w:pPr>
        <w:pStyle w:val="ListBullet"/>
        <w:ind w:left="360" w:hanging="360"/>
      </w:pPr>
      <w:r>
        <w:rPr>
          <w:rFonts w:ascii="Calibri" w:hAnsi="Calibri"/>
          <w:b/>
          <w:color w:val="525866"/>
          <w:sz w:val="22"/>
        </w:rPr>
        <w:t xml:space="preserve">Data Center Demand (Current): </w:t>
      </w:r>
      <w:r>
        <w:rPr>
          <w:rFonts w:ascii="Calibri" w:hAnsi="Calibri"/>
          <w:color w:val="525866"/>
          <w:sz w:val="22"/>
        </w:rPr>
        <w:t>Power Solutions segment (90%+ data center) growing at 35%. Demand is "absolutely insatiable." Conversations with customers are "unchanged" and "only hotter than they were six months ago." DY is turning away opportunities due to resource constraints. "Enough data centers can’t get built here terrestrially to meet the needs."</w:t>
      </w:r>
    </w:p>
    <w:p>
      <w:pPr>
        <w:pStyle w:val="ListBullet"/>
        <w:ind w:left="360" w:hanging="360"/>
      </w:pPr>
      <w:r>
        <w:rPr>
          <w:rFonts w:ascii="Calibri" w:hAnsi="Calibri"/>
          <w:b/>
          <w:color w:val="525866"/>
          <w:sz w:val="22"/>
        </w:rPr>
        <w:t xml:space="preserve">Labor Constraints (Electrical): </w:t>
      </w:r>
      <w:r>
        <w:rPr>
          <w:rFonts w:ascii="Calibri" w:hAnsi="Calibri"/>
          <w:color w:val="525866"/>
          <w:sz w:val="22"/>
        </w:rPr>
        <w:t>On the electrical (union) side, "getting people through the apprenticeship, getting the management teams in place" is the bottleneck. DY is "turning away opportunities because we don’t have the management teams in the actual field resources to deliver." Getting through the union apprenticeship takes four years.</w:t>
      </w:r>
    </w:p>
    <w:p>
      <w:pPr>
        <w:pStyle w:val="ListBullet"/>
        <w:ind w:left="360" w:hanging="360"/>
      </w:pPr>
      <w:r>
        <w:rPr>
          <w:rFonts w:ascii="Calibri" w:hAnsi="Calibri"/>
          <w:b/>
          <w:color w:val="525866"/>
          <w:sz w:val="22"/>
        </w:rPr>
        <w:t xml:space="preserve">Demand Durability: </w:t>
      </w:r>
      <w:r>
        <w:rPr>
          <w:rFonts w:ascii="Calibri" w:hAnsi="Calibri"/>
          <w:color w:val="525866"/>
          <w:sz w:val="22"/>
        </w:rPr>
        <w:t>"These build cycles go well into the next decade." The long-haul and middle-mile opportunity (initially sized at $20B over five years) has "grown considerably." The demand environment is "incredible" and was a "very pleasant surprise" since the CEO took the role 18 months ago.</w:t>
      </w:r>
    </w:p>
    <w:p>
      <w:pPr>
        <w:pStyle w:val="ListBullet"/>
        <w:ind w:left="360" w:hanging="360"/>
      </w:pPr>
      <w:r>
        <w:rPr>
          <w:rFonts w:ascii="Calibri" w:hAnsi="Calibri"/>
          <w:b/>
          <w:color w:val="525866"/>
          <w:sz w:val="22"/>
        </w:rPr>
        <w:t xml:space="preserve">EME Read-Through: </w:t>
      </w:r>
      <w:r>
        <w:rPr>
          <w:rFonts w:ascii="Calibri" w:hAnsi="Calibri"/>
          <w:color w:val="525866"/>
          <w:sz w:val="22"/>
        </w:rPr>
        <w:t>Positive for EME’s data center electrical construction demand. DY’s labor constraint commentary is consistent with EME’s field leadership bottleneck narrative and supports the view that EME’s existing workforce and training infrastructure are a genuine competitive moat.</w:t>
      </w:r>
    </w:p>
    <w:p>
      <w:pPr>
        <w:pStyle w:val="Heading2"/>
      </w:pPr>
      <w:r>
        <w:rPr>
          <w:rFonts w:ascii="Calibri" w:hAnsi="Calibri"/>
          <w:b/>
          <w:color w:val="3B4259"/>
          <w:sz w:val="28"/>
        </w:rPr>
        <w:t>Peer 5: Tetra Tech (TTEK) — Q3 FY2026 Earnings Release, July 29, 2026</w:t>
      </w:r>
    </w:p>
    <w:p>
      <w:r>
        <w:rPr>
          <w:rFonts w:ascii="Calibri" w:hAnsi="Calibri"/>
          <w:b/>
          <w:color w:val="525866"/>
          <w:sz w:val="22"/>
        </w:rPr>
        <w:t xml:space="preserve">Read-Through Type: </w:t>
      </w:r>
      <w:r>
        <w:rPr>
          <w:rFonts w:ascii="Calibri" w:hAnsi="Calibri"/>
          <w:b/>
          <w:color w:val="525866"/>
          <w:sz w:val="22"/>
        </w:rPr>
        <w:t>Indirect</w:t>
      </w:r>
      <w:r>
        <w:rPr>
          <w:rFonts w:ascii="Calibri" w:hAnsi="Calibri"/>
          <w:color w:val="525866"/>
          <w:sz w:val="22"/>
        </w:rPr>
        <w:t xml:space="preserve"> — TTEK is an engineering and technical services firm (not a direct contractor); its relevance to EME is through shared end markets (water/wastewater, federal infrastructure, data centers at the design/engineering phase).</w:t>
      </w:r>
    </w:p>
    <w:p>
      <w:r>
        <w:rPr>
          <w:rFonts w:ascii="Calibri" w:hAnsi="Calibri"/>
          <w:b/>
          <w:color w:val="525866"/>
          <w:sz w:val="22"/>
        </w:rPr>
        <w:t xml:space="preserve">Business Mix Caveat: </w:t>
      </w:r>
      <w:r>
        <w:rPr>
          <w:rFonts w:ascii="Calibri" w:hAnsi="Calibri"/>
          <w:color w:val="525866"/>
          <w:sz w:val="22"/>
        </w:rPr>
        <w:t>TTEK’s business is engineering/consulting services, not direct construction. Margins are structurally different. TTEK’s federal and international exposure is higher than EME’s. The data center read-through is at the design/engineering phase, which precedes EME’s construction phase.</w:t>
      </w:r>
    </w:p>
    <w:p>
      <w:pPr>
        <w:pStyle w:val="ListBullet"/>
        <w:ind w:left="360" w:hanging="360"/>
      </w:pPr>
      <w:r>
        <w:rPr>
          <w:rFonts w:ascii="Calibri" w:hAnsi="Calibri"/>
          <w:b/>
          <w:color w:val="525866"/>
          <w:sz w:val="22"/>
        </w:rPr>
        <w:t xml:space="preserve">Data Center Demand (Q2 Calendar 2026): </w:t>
      </w:r>
      <w:r>
        <w:rPr>
          <w:rFonts w:ascii="Calibri" w:hAnsi="Calibri"/>
          <w:color w:val="525866"/>
          <w:sz w:val="22"/>
        </w:rPr>
        <w:t>TTEK secured a "Hyperscale AI Data Center power system digital automation and cybersecurity contract" in Q3 FY2026 (ended June 28, 2026). CEO Roger Argus noted "significant new orders during the quarter, including commercial orders for data center and sediment restoration projects, driving our backlog up by more than $200 million."</w:t>
      </w:r>
    </w:p>
    <w:p>
      <w:pPr>
        <w:pStyle w:val="ListBullet"/>
        <w:ind w:left="360" w:hanging="360"/>
      </w:pPr>
      <w:r>
        <w:rPr>
          <w:rFonts w:ascii="Calibri" w:hAnsi="Calibri"/>
          <w:b/>
          <w:color w:val="525866"/>
          <w:sz w:val="22"/>
        </w:rPr>
        <w:t xml:space="preserve">Infrastructure Activity: </w:t>
      </w:r>
      <w:r>
        <w:rPr>
          <w:rFonts w:ascii="Calibri" w:hAnsi="Calibri"/>
          <w:color w:val="525866"/>
          <w:sz w:val="22"/>
        </w:rPr>
        <w:t>"We delivered a strong third quarter with growth primarily driven by U.S. federal and international end markets, both increasing at a double-digit rate." Backlog up 5% sequentially to $4.49B. Key wins include multiple U.S. Army Corps of Engineers contracts, EPA water quality contracts, and water/wastewater digital systems integration.</w:t>
      </w:r>
    </w:p>
    <w:p>
      <w:pPr>
        <w:pStyle w:val="ListBullet"/>
        <w:ind w:left="360" w:hanging="360"/>
      </w:pPr>
      <w:r>
        <w:rPr>
          <w:rFonts w:ascii="Calibri" w:hAnsi="Calibri"/>
          <w:b/>
          <w:color w:val="525866"/>
          <w:sz w:val="22"/>
        </w:rPr>
        <w:t xml:space="preserve">EME Read-Through: </w:t>
      </w:r>
      <w:r>
        <w:rPr>
          <w:rFonts w:ascii="Calibri" w:hAnsi="Calibri"/>
          <w:color w:val="525866"/>
          <w:sz w:val="22"/>
        </w:rPr>
        <w:t>Positive for EME’s water/wastewater and federal infrastructure segments. TTEK’s strong bookings in water infrastructure and data center engineering suggest the pipeline of work that will eventually require EME’s construction services remains robust.</w:t>
      </w:r>
    </w:p>
    <w:p>
      <w:pPr>
        <w:pStyle w:val="Heading2"/>
      </w:pPr>
      <w:r>
        <w:rPr>
          <w:rFonts w:ascii="Calibri" w:hAnsi="Calibri"/>
          <w:b/>
          <w:color w:val="3B4259"/>
          <w:sz w:val="28"/>
        </w:rPr>
        <w:t>Peer Commentary Summary Table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Peer</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Read-Through Type</w:t>
            </w:r>
          </w:p>
        </w:tc>
        <w:tc>
          <w:tcPr>
            <w:tcW w:type="dxa" w:w="1234"/>
            <w:shd w:val="clear" w:color="auto" w:fill="3B4259"/>
          </w:tcPr>
          <w:p>
            <w:r>
              <w:rPr>
                <w:rFonts w:ascii="Calibri" w:hAnsi="Calibri"/>
                <w:b/>
                <w:color w:val="FFFFFF"/>
                <w:sz w:val="22"/>
              </w:rPr>
              <w:t>Data Center Signal</w:t>
            </w:r>
          </w:p>
        </w:tc>
        <w:tc>
          <w:tcPr>
            <w:tcW w:type="dxa" w:w="1234"/>
            <w:shd w:val="clear" w:color="auto" w:fill="3B4259"/>
          </w:tcPr>
          <w:p>
            <w:r>
              <w:rPr>
                <w:rFonts w:ascii="Calibri" w:hAnsi="Calibri"/>
                <w:b/>
                <w:color w:val="FFFFFF"/>
                <w:sz w:val="22"/>
              </w:rPr>
              <w:t>Margin Signal</w:t>
            </w:r>
          </w:p>
        </w:tc>
        <w:tc>
          <w:tcPr>
            <w:tcW w:type="dxa" w:w="1234"/>
            <w:shd w:val="clear" w:color="auto" w:fill="3B4259"/>
          </w:tcPr>
          <w:p>
            <w:r>
              <w:rPr>
                <w:rFonts w:ascii="Calibri" w:hAnsi="Calibri"/>
                <w:b/>
                <w:color w:val="FFFFFF"/>
                <w:sz w:val="22"/>
              </w:rPr>
              <w:t>Labor Signal</w:t>
            </w:r>
          </w:p>
        </w:tc>
        <w:tc>
          <w:tcPr>
            <w:tcW w:type="dxa" w:w="1234"/>
            <w:shd w:val="clear" w:color="auto" w:fill="3B4259"/>
          </w:tcPr>
          <w:p>
            <w:r>
              <w:rPr>
                <w:rFonts w:ascii="Calibri" w:hAnsi="Calibri"/>
                <w:b/>
                <w:color w:val="FFFFFF"/>
                <w:sz w:val="22"/>
              </w:rPr>
              <w:t>Net EME Read-Through</w:t>
            </w:r>
          </w:p>
        </w:tc>
      </w:tr>
      <w:tr>
        <w:tc>
          <w:tcPr>
            <w:tcW w:type="dxa" w:w="1234"/>
          </w:tcPr>
          <w:p>
            <w:r>
              <w:rPr>
                <w:rFonts w:ascii="Calibri" w:hAnsi="Calibri"/>
                <w:sz w:val="22"/>
              </w:rPr>
              <w:t>FIX</w:t>
            </w:r>
          </w:p>
        </w:tc>
        <w:tc>
          <w:tcPr>
            <w:tcW w:type="dxa" w:w="1234"/>
          </w:tcPr>
          <w:p>
            <w:r>
              <w:rPr>
                <w:rFonts w:ascii="Calibri" w:hAnsi="Calibri"/>
                <w:sz w:val="22"/>
              </w:rPr>
              <w:t>Jul 24, 2026</w:t>
            </w:r>
          </w:p>
        </w:tc>
        <w:tc>
          <w:tcPr>
            <w:tcW w:type="dxa" w:w="1234"/>
          </w:tcPr>
          <w:p>
            <w:r>
              <w:rPr>
                <w:rFonts w:ascii="Calibri" w:hAnsi="Calibri"/>
                <w:sz w:val="22"/>
              </w:rPr>
              <w:t>Direct</w:t>
            </w:r>
          </w:p>
        </w:tc>
        <w:tc>
          <w:tcPr>
            <w:tcW w:type="dxa" w:w="1234"/>
          </w:tcPr>
          <w:p>
            <w:r>
              <w:rPr>
                <w:rFonts w:ascii="Calibri" w:hAnsi="Calibri"/>
                <w:b/>
                <w:color w:val="30A46C"/>
                <w:sz w:val="22"/>
              </w:rPr>
              <w:t>⬆️ Very Strong</w:t>
            </w:r>
          </w:p>
        </w:tc>
        <w:tc>
          <w:tcPr>
            <w:tcW w:type="dxa" w:w="1234"/>
          </w:tcPr>
          <w:p>
            <w:r>
              <w:rPr>
                <w:rFonts w:ascii="Calibri" w:hAnsi="Calibri"/>
                <w:b/>
                <w:color w:val="30A46C"/>
                <w:sz w:val="22"/>
              </w:rPr>
              <w:t>⬆️ Expanding</w:t>
            </w:r>
          </w:p>
        </w:tc>
        <w:tc>
          <w:tcPr>
            <w:tcW w:type="dxa" w:w="1234"/>
          </w:tcPr>
          <w:p>
            <w:r>
              <w:rPr>
                <w:rFonts w:ascii="Calibri" w:hAnsi="Calibri"/>
                <w:sz w:val="22"/>
              </w:rPr>
              <w:t>Tight but manageable</w:t>
            </w:r>
          </w:p>
        </w:tc>
        <w:tc>
          <w:tcPr>
            <w:tcW w:type="dxa" w:w="1234"/>
          </w:tcPr>
          <w:p>
            <w:r>
              <w:rPr>
                <w:rFonts w:ascii="Calibri" w:hAnsi="Calibri"/>
                <w:b/>
                <w:color w:val="30A46C"/>
                <w:sz w:val="22"/>
              </w:rPr>
              <w:t>Positive</w:t>
            </w:r>
          </w:p>
        </w:tc>
      </w:tr>
      <w:tr>
        <w:tc>
          <w:tcPr>
            <w:tcW w:type="dxa" w:w="1234"/>
          </w:tcPr>
          <w:p>
            <w:r>
              <w:rPr>
                <w:rFonts w:ascii="Calibri" w:hAnsi="Calibri"/>
                <w:sz w:val="22"/>
              </w:rPr>
              <w:t>MTZ (Superior Acq.)</w:t>
            </w:r>
          </w:p>
        </w:tc>
        <w:tc>
          <w:tcPr>
            <w:tcW w:type="dxa" w:w="1234"/>
          </w:tcPr>
          <w:p>
            <w:r>
              <w:rPr>
                <w:rFonts w:ascii="Calibri" w:hAnsi="Calibri"/>
                <w:sz w:val="22"/>
              </w:rPr>
              <w:t>Jul 8, 2026</w:t>
            </w:r>
          </w:p>
        </w:tc>
        <w:tc>
          <w:tcPr>
            <w:tcW w:type="dxa" w:w="1234"/>
          </w:tcPr>
          <w:p>
            <w:r>
              <w:rPr>
                <w:rFonts w:ascii="Calibri" w:hAnsi="Calibri"/>
                <w:sz w:val="22"/>
              </w:rPr>
              <w:t>Direct</w:t>
            </w:r>
          </w:p>
        </w:tc>
        <w:tc>
          <w:tcPr>
            <w:tcW w:type="dxa" w:w="1234"/>
          </w:tcPr>
          <w:p>
            <w:r>
              <w:rPr>
                <w:rFonts w:ascii="Calibri" w:hAnsi="Calibri"/>
                <w:b/>
                <w:color w:val="30A46C"/>
                <w:sz w:val="22"/>
              </w:rPr>
              <w:t>⬆️ Very Strong</w:t>
            </w:r>
          </w:p>
        </w:tc>
        <w:tc>
          <w:tcPr>
            <w:tcW w:type="dxa" w:w="1234"/>
          </w:tcPr>
          <w:p>
            <w:r>
              <w:rPr>
                <w:rFonts w:ascii="Calibri" w:hAnsi="Calibri"/>
                <w:sz w:val="22"/>
              </w:rPr>
              <w:t>Strong (14–15% EBITDA)</w:t>
            </w:r>
          </w:p>
        </w:tc>
        <w:tc>
          <w:tcPr>
            <w:tcW w:type="dxa" w:w="1234"/>
          </w:tcPr>
          <w:p>
            <w:r>
              <w:rPr>
                <w:rFonts w:ascii="Calibri" w:hAnsi="Calibri"/>
                <w:sz w:val="22"/>
              </w:rPr>
              <w:t>Scarce — key moat</w:t>
            </w:r>
          </w:p>
        </w:tc>
        <w:tc>
          <w:tcPr>
            <w:tcW w:type="dxa" w:w="1234"/>
          </w:tcPr>
          <w:p>
            <w:r>
              <w:rPr>
                <w:rFonts w:ascii="Calibri" w:hAnsi="Calibri"/>
                <w:b/>
                <w:color w:val="30A46C"/>
                <w:sz w:val="22"/>
              </w:rPr>
              <w:t>Positive</w:t>
            </w:r>
          </w:p>
        </w:tc>
      </w:tr>
      <w:tr>
        <w:tc>
          <w:tcPr>
            <w:tcW w:type="dxa" w:w="1234"/>
          </w:tcPr>
          <w:p>
            <w:r>
              <w:rPr>
                <w:rFonts w:ascii="Calibri" w:hAnsi="Calibri"/>
                <w:sz w:val="22"/>
              </w:rPr>
              <w:t>STRL</w:t>
            </w:r>
          </w:p>
        </w:tc>
        <w:tc>
          <w:tcPr>
            <w:tcW w:type="dxa" w:w="1234"/>
          </w:tcPr>
          <w:p>
            <w:r>
              <w:rPr>
                <w:rFonts w:ascii="Calibri" w:hAnsi="Calibri"/>
                <w:sz w:val="22"/>
              </w:rPr>
              <w:t>Jun 3, 2026</w:t>
            </w:r>
          </w:p>
        </w:tc>
        <w:tc>
          <w:tcPr>
            <w:tcW w:type="dxa" w:w="1234"/>
          </w:tcPr>
          <w:p>
            <w:r>
              <w:rPr>
                <w:rFonts w:ascii="Calibri" w:hAnsi="Calibri"/>
                <w:sz w:val="22"/>
              </w:rPr>
              <w:t>Indirect</w:t>
            </w:r>
          </w:p>
        </w:tc>
        <w:tc>
          <w:tcPr>
            <w:tcW w:type="dxa" w:w="1234"/>
          </w:tcPr>
          <w:p>
            <w:r>
              <w:rPr>
                <w:rFonts w:ascii="Calibri" w:hAnsi="Calibri"/>
                <w:b/>
                <w:color w:val="30A46C"/>
                <w:sz w:val="22"/>
              </w:rPr>
              <w:t>⬆️ Very Strong</w:t>
            </w:r>
          </w:p>
        </w:tc>
        <w:tc>
          <w:tcPr>
            <w:tcW w:type="dxa" w:w="1234"/>
          </w:tcPr>
          <w:p>
            <w:r>
              <w:rPr>
                <w:rFonts w:ascii="Calibri" w:hAnsi="Calibri"/>
                <w:sz w:val="22"/>
              </w:rPr>
              <w:t>Improving (new geographies)</w:t>
            </w:r>
          </w:p>
        </w:tc>
        <w:tc>
          <w:tcPr>
            <w:tcW w:type="dxa" w:w="1234"/>
          </w:tcPr>
          <w:p>
            <w:r>
              <w:rPr>
                <w:rFonts w:ascii="Calibri" w:hAnsi="Calibri"/>
                <w:sz w:val="22"/>
              </w:rPr>
              <w:t>Constrained; prefab key</w:t>
            </w:r>
          </w:p>
        </w:tc>
        <w:tc>
          <w:tcPr>
            <w:tcW w:type="dxa" w:w="1234"/>
          </w:tcPr>
          <w:p>
            <w:r>
              <w:rPr>
                <w:rFonts w:ascii="Calibri" w:hAnsi="Calibri"/>
                <w:b/>
                <w:color w:val="30A46C"/>
                <w:sz w:val="22"/>
              </w:rPr>
              <w:t>Positive</w:t>
            </w:r>
          </w:p>
        </w:tc>
      </w:tr>
      <w:tr>
        <w:tc>
          <w:tcPr>
            <w:tcW w:type="dxa" w:w="1234"/>
          </w:tcPr>
          <w:p>
            <w:r>
              <w:rPr>
                <w:rFonts w:ascii="Calibri" w:hAnsi="Calibri"/>
                <w:sz w:val="22"/>
              </w:rPr>
              <w:t>DY</w:t>
            </w:r>
          </w:p>
        </w:tc>
        <w:tc>
          <w:tcPr>
            <w:tcW w:type="dxa" w:w="1234"/>
          </w:tcPr>
          <w:p>
            <w:r>
              <w:rPr>
                <w:rFonts w:ascii="Calibri" w:hAnsi="Calibri"/>
                <w:sz w:val="22"/>
              </w:rPr>
              <w:t>Jul 8, 2026</w:t>
            </w:r>
          </w:p>
        </w:tc>
        <w:tc>
          <w:tcPr>
            <w:tcW w:type="dxa" w:w="1234"/>
          </w:tcPr>
          <w:p>
            <w:r>
              <w:rPr>
                <w:rFonts w:ascii="Calibri" w:hAnsi="Calibri"/>
                <w:sz w:val="22"/>
              </w:rPr>
              <w:t>Indirect</w:t>
            </w:r>
          </w:p>
        </w:tc>
        <w:tc>
          <w:tcPr>
            <w:tcW w:type="dxa" w:w="1234"/>
          </w:tcPr>
          <w:p>
            <w:r>
              <w:rPr>
                <w:rFonts w:ascii="Calibri" w:hAnsi="Calibri"/>
                <w:b/>
                <w:color w:val="30A46C"/>
                <w:sz w:val="22"/>
              </w:rPr>
              <w:t>⬆️ Very Strong</w:t>
            </w:r>
          </w:p>
        </w:tc>
        <w:tc>
          <w:tcPr>
            <w:tcW w:type="dxa" w:w="1234"/>
          </w:tcPr>
          <w:p>
            <w:r>
              <w:rPr>
                <w:rFonts w:ascii="Calibri" w:hAnsi="Calibri"/>
                <w:sz w:val="22"/>
              </w:rPr>
              <w:t>Improving (internal efficiencies)</w:t>
            </w:r>
          </w:p>
        </w:tc>
        <w:tc>
          <w:tcPr>
            <w:tcW w:type="dxa" w:w="1234"/>
          </w:tcPr>
          <w:p>
            <w:r>
              <w:rPr>
                <w:rFonts w:ascii="Calibri" w:hAnsi="Calibri"/>
                <w:sz w:val="22"/>
              </w:rPr>
              <w:t>Constrained; turning away work</w:t>
            </w:r>
          </w:p>
        </w:tc>
        <w:tc>
          <w:tcPr>
            <w:tcW w:type="dxa" w:w="1234"/>
          </w:tcPr>
          <w:p>
            <w:r>
              <w:rPr>
                <w:rFonts w:ascii="Calibri" w:hAnsi="Calibri"/>
                <w:b/>
                <w:color w:val="30A46C"/>
                <w:sz w:val="22"/>
              </w:rPr>
              <w:t>Positive</w:t>
            </w:r>
          </w:p>
        </w:tc>
      </w:tr>
      <w:tr>
        <w:tc>
          <w:tcPr>
            <w:tcW w:type="dxa" w:w="1234"/>
          </w:tcPr>
          <w:p>
            <w:r>
              <w:rPr>
                <w:rFonts w:ascii="Calibri" w:hAnsi="Calibri"/>
                <w:sz w:val="22"/>
              </w:rPr>
              <w:t>TTEK</w:t>
            </w:r>
          </w:p>
        </w:tc>
        <w:tc>
          <w:tcPr>
            <w:tcW w:type="dxa" w:w="1234"/>
          </w:tcPr>
          <w:p>
            <w:r>
              <w:rPr>
                <w:rFonts w:ascii="Calibri" w:hAnsi="Calibri"/>
                <w:sz w:val="22"/>
              </w:rPr>
              <w:t>Jul 29, 2026</w:t>
            </w:r>
          </w:p>
        </w:tc>
        <w:tc>
          <w:tcPr>
            <w:tcW w:type="dxa" w:w="1234"/>
          </w:tcPr>
          <w:p>
            <w:r>
              <w:rPr>
                <w:rFonts w:ascii="Calibri" w:hAnsi="Calibri"/>
                <w:sz w:val="22"/>
              </w:rPr>
              <w:t>Indirect</w:t>
            </w:r>
          </w:p>
        </w:tc>
        <w:tc>
          <w:tcPr>
            <w:tcW w:type="dxa" w:w="1234"/>
          </w:tcPr>
          <w:p>
            <w:r>
              <w:rPr>
                <w:rFonts w:ascii="Calibri" w:hAnsi="Calibri"/>
                <w:b/>
                <w:color w:val="30A46C"/>
                <w:sz w:val="22"/>
              </w:rPr>
              <w:t>⬆️ Strong</w:t>
            </w:r>
          </w:p>
        </w:tc>
        <w:tc>
          <w:tcPr>
            <w:tcW w:type="dxa" w:w="1234"/>
          </w:tcPr>
          <w:p>
            <w:r>
              <w:rPr>
                <w:rFonts w:ascii="Calibri" w:hAnsi="Calibri"/>
                <w:sz w:val="22"/>
              </w:rPr>
              <w:t>Healthy (~14% op. margin)</w:t>
            </w:r>
          </w:p>
        </w:tc>
        <w:tc>
          <w:tcPr>
            <w:tcW w:type="dxa" w:w="1234"/>
          </w:tcPr>
          <w:p>
            <w:r>
              <w:rPr>
                <w:rFonts w:ascii="Calibri" w:hAnsi="Calibri"/>
                <w:sz w:val="22"/>
              </w:rPr>
              <w:t>N/A (engineering services)</w:t>
            </w:r>
          </w:p>
        </w:tc>
        <w:tc>
          <w:tcPr>
            <w:tcW w:type="dxa" w:w="1234"/>
          </w:tcPr>
          <w:p>
            <w:r>
              <w:rPr>
                <w:rFonts w:ascii="Calibri" w:hAnsi="Calibri"/>
                <w:b/>
                <w:color w:val="30A46C"/>
                <w:sz w:val="22"/>
              </w:rPr>
              <w:t>Positive (water/infra)</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