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ix-earnings-predictions--2026-07-29"/>
    <w:p>
      <w:pPr>
        <w:pStyle w:val="Heading1"/>
      </w:pPr>
      <w:r>
        <w:t xml:space="preserve">EQIX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 (incl. Hampton xScale)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2.60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Adj.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10.19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10.21B (FY2026,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AFFO/share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43.0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42.75 (FY2026, midpoint)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~51% vs. cons ~51%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2.63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2.64B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MRR growth (norm. cc)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guide/print ~+10% vs. cons ~+10% (Q2 2026, 3rd straight double-digit)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Hampton xScale lease signing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80</m:t>
              </m:r>
              <m:r>
                <m:t>M</m:t>
              </m:r>
              <m:r>
                <m:t>r</m:t>
              </m:r>
              <m:r>
                <m:t>e</m:t>
              </m:r>
              <m:r>
                <m:t>v</m:t>
              </m:r>
              <m:r>
                <m:rPr>
                  <m:sty m:val="p"/>
                </m:rPr>
                <m:t>/</m:t>
              </m:r>
            </m:oMath>
            <w:r>
              <w:t xml:space="preserve">0.65 AFFO booked vs. cons assumes signed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Expectations are elevated after a ~35% YTD run and a late-July DLR-sympathy pop to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084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d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1,035 into the print; beta to SPY is low (~0.4) so most of the move is idiosyncratic. A beat/small guide-bump is largely telegraphed and front-loaded from the Q1 raise, so it reads as a 'quality-of-momentum' quarter. Out-period math is unfavorable: the revenue inflection is back-half-2027 loaded, capex sits at the top end (~</w:t>
            </w:r>
            <m:oMath>
              <m:r>
                <m:t>4.1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r</m:t>
              </m:r>
              <m:r>
                <m:t>i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t>n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t</m:t>
              </m:r>
              <m:r>
                <m:t>A</m:t>
              </m:r>
              <m:r>
                <m:t>F</m:t>
              </m:r>
              <m:r>
                <m:t>F</m:t>
              </m:r>
              <m:r>
                <m:t>O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200M in 2026) and the flagged ~$7 investment drag, plus overhangs from the new CFO's first full call, Jon Lin's departure, and Hampton-timing credibility risk. Even on a headline beat, sell-side AFFO/share revisions get capped by the interest/capex drag, pulling estimates and the stock lower over 5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2026-07-29T01:48:14Z</dcterms:created>
  <dcterms:modified xsi:type="dcterms:W3CDTF">2026-07-29T01:48:14Z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