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I'll research EQIX thoroughly before writing the preview. Let me start by gathering recent earnings materials, guidance, and news.Let me read the most recent earnings materials and check the stock price and recent news.Now let me get the stock price trajectory, recent news, and the 2025 Investor Day long-term targets.Let me pull recent news and the 2025 Investor Day long-term targets.Let me quickly check the recent leadership-departure 8-K and the Q2 earnings date confirmation.I now have everything I need. Let me write the earnings preview.</w:t>
      </w:r>
    </w:p>
    <w:bookmarkStart w:id="18" w:name="equinix-eqix--q2-2026-earnings-preview"/>
    <w:p>
      <w:pPr>
        <w:pStyle w:val="Heading1"/>
      </w:pPr>
      <w:r>
        <w:t xml:space="preserve">Equinix (EQIX) — Q2 2026 Earnings Preview</w:t>
      </w:r>
    </w:p>
    <w:bookmarkStart w:id="9" w:name="X47d9a6d29d9c919a31d959ba34b9624845db1b8"/>
    <w:p>
      <w:pPr>
        <w:pStyle w:val="Heading3"/>
      </w:pPr>
      <w:r>
        <w:t xml:space="preserve">Report expected after market close, Wednesday, July 29, 2026 (Q2 2026 Earnings Call)</w:t>
      </w:r>
    </w:p>
    <w:p>
      <w:r>
        <w:pict>
          <v:rect style="width:0;height:1.5pt" o:hralign="center" o:hrstd="t" o:hr="t"/>
        </w:pict>
      </w:r>
    </w:p>
    <w:bookmarkEnd w:id="9"/>
    <w:bookmarkStart w:id="10" w:name="the-one-line-setup"/>
    <w:p>
      <w:pPr>
        <w:pStyle w:val="Heading2"/>
      </w:pPr>
      <w:r>
        <w:t xml:space="preserve">The one-line setup</w:t>
      </w:r>
    </w:p>
    <w:p>
      <w:pPr>
        <w:pStyle w:val="FirstParagraph"/>
      </w:pPr>
      <w:r>
        <w:t xml:space="preserve">Equinix enters its Q2 print with strong operating momentum and a</w:t>
      </w:r>
      <w:r>
        <w:t xml:space="preserve"> </w:t>
      </w:r>
      <w:r>
        <w:rPr>
          <w:b/>
          <w:bCs/>
        </w:rPr>
        <w:t xml:space="preserve">raised full-year outlook</w:t>
      </w:r>
      <w:r>
        <w:t xml:space="preserve">, but the quarter carries an unusually large amount of "moving pieces": a first full quarter under a new CFO, the departure of a key executive, a deferred mega-deal that is supposed to land</w:t>
      </w:r>
      <w:r>
        <w:t xml:space="preserve"> </w:t>
      </w:r>
      <w:r>
        <w:rPr>
          <w:i/>
          <w:iCs/>
        </w:rPr>
        <w:t xml:space="preserve">this</w:t>
      </w:r>
      <w:r>
        <w:t xml:space="preserve"> </w:t>
      </w:r>
      <w:r>
        <w:t xml:space="preserve">quarter, and a stock that has round-tripped off its highs. The bar is set by management's own guidance — the question is quality and durability, not whether the headline is "good."</w:t>
      </w:r>
    </w:p>
    <w:p>
      <w:r>
        <w:pict>
          <v:rect style="width:0;height:1.5pt" o:hralign="center" o:hrstd="t" o:hr="t"/>
        </w:pict>
      </w:r>
    </w:p>
    <w:bookmarkEnd w:id="10"/>
    <w:bookmarkStart w:id="11" w:name="what-the-market-is-pricing-in"/>
    <w:p>
      <w:pPr>
        <w:pStyle w:val="Heading2"/>
      </w:pPr>
      <w:r>
        <w:t xml:space="preserve">What the market is pricing in</w:t>
      </w:r>
    </w:p>
    <w:p>
      <w:pPr>
        <w:pStyle w:val="FirstParagraph"/>
      </w:pPr>
      <w:r>
        <w:t xml:space="preserve">EQIX has had a strong run but has cooled off recently:</w:t>
      </w:r>
    </w:p>
    <w:p>
      <w:pPr>
        <w:pStyle w:val="Compact"/>
        <w:numPr>
          <w:ilvl w:val="0"/>
          <w:numId w:val="1001"/>
        </w:numPr>
      </w:pPr>
      <w:r>
        <w:t xml:space="preserve">The stock closed</w:t>
      </w:r>
      <w:r>
        <w:t xml:space="preserve"> </w:t>
      </w:r>
      <w:r>
        <w:rPr>
          <w:b/>
          <w:bCs/>
        </w:rPr>
        <w:t xml:space="preserve">~</w:t>
      </w:r>
      <m:oMath>
        <m:r>
          <m:t>1</m:t>
        </m:r>
        <m:r>
          <m:rPr>
            <m:sty m:val="p"/>
          </m:rPr>
          <m:t>,</m:t>
        </m:r>
        <m:r>
          <m:t>035</m:t>
        </m:r>
        <m:r>
          <m:t>o</m:t>
        </m:r>
        <m:r>
          <m:t>n</m:t>
        </m:r>
        <m:r>
          <m:t>J</m:t>
        </m:r>
        <m:r>
          <m:t>u</m:t>
        </m:r>
        <m:r>
          <m:t>l</m:t>
        </m:r>
        <m:r>
          <m:t>y</m:t>
        </m:r>
        <m:r>
          <m:t>28</m:t>
        </m:r>
        <m:r>
          <m:rPr>
            <m:sty m:val="p"/>
          </m:rPr>
          <m:t>*</m:t>
        </m:r>
        <m:r>
          <m:rPr>
            <m:sty m:val="p"/>
          </m:rPr>
          <m:t>*</m:t>
        </m:r>
        <m:r>
          <m:rPr>
            <m:sty m:val="p"/>
          </m:rPr>
          <m:t>,</m:t>
        </m:r>
        <m:r>
          <m:t>u</m:t>
        </m:r>
        <m:r>
          <m:t>p</m:t>
        </m:r>
        <m:r>
          <m:t>r</m:t>
        </m:r>
        <m:r>
          <m:t>o</m:t>
        </m:r>
        <m:r>
          <m:t>u</m:t>
        </m:r>
        <m:r>
          <m:t>g</m:t>
        </m:r>
        <m:r>
          <m:t>h</m:t>
        </m:r>
        <m:r>
          <m:t>l</m:t>
        </m:r>
        <m:r>
          <m:t>y</m:t>
        </m:r>
        <m:r>
          <m:rPr>
            <m:sty m:val="p"/>
          </m:rPr>
          <m:t>*</m:t>
        </m:r>
        <m:r>
          <m:rPr>
            <m:sty m:val="p"/>
          </m:rPr>
          <m:t>*</m:t>
        </m:r>
        <m:r>
          <m:rPr>
            <m:sty m:val="p"/>
          </m:rPr>
          <m:t>+</m:t>
        </m:r>
        <m:r>
          <m:t>35</m:t>
        </m:r>
      </m:oMath>
      <w:r>
        <w:rPr>
          <w:b/>
          <w:bCs/>
        </w:rPr>
        <w:t xml:space="preserve">764 at the start of 2026) but down about **~5% since the Q1 print</w:t>
      </w:r>
      <w:r>
        <w:t xml:space="preserve"> </w:t>
      </w:r>
      <w:r>
        <w:t xml:space="preserve">(April 29 close ~</w:t>
      </w:r>
      <m:oMath>
        <m:r>
          <m:t>1</m:t>
        </m:r>
        <m:r>
          <m:rPr>
            <m:sty m:val="p"/>
          </m:rPr>
          <m:t>,</m:t>
        </m:r>
        <m:r>
          <m:t>089</m:t>
        </m:r>
        <m:r>
          <m:rPr>
            <m:sty m:val="p"/>
          </m:rPr>
          <m:t>)</m:t>
        </m:r>
        <m:r>
          <m:t>a</m:t>
        </m:r>
        <m:r>
          <m:t>n</m:t>
        </m:r>
        <m:r>
          <m:t>d</m:t>
        </m:r>
        <m:r>
          <m:rPr>
            <m:sty m:val="p"/>
          </m:rPr>
          <m:t>*</m:t>
        </m:r>
        <m:r>
          <m:rPr>
            <m:sty m:val="p"/>
          </m:rPr>
          <m:t>*</m:t>
        </m:r>
        <m:r>
          <m:t> </m:t>
        </m:r>
        <m:r>
          <m:t>7</m:t>
        </m:r>
      </m:oMath>
      <w:r>
        <w:t xml:space="preserve">1,116 highs** in late June.</w:t>
      </w:r>
    </w:p>
    <w:p>
      <w:pPr>
        <w:pStyle w:val="Compact"/>
        <w:numPr>
          <w:ilvl w:val="0"/>
          <w:numId w:val="1001"/>
        </w:numPr>
      </w:pPr>
      <w:r>
        <w:t xml:space="preserve">The big re-rating happened around the</w:t>
      </w:r>
      <w:r>
        <w:t xml:space="preserve"> </w:t>
      </w:r>
      <w:r>
        <w:rPr>
          <w:b/>
          <w:bCs/>
        </w:rPr>
        <w:t xml:space="preserve">Q4 2025 report in mid-February</w:t>
      </w:r>
      <w:r>
        <w:t xml:space="preserve"> </w:t>
      </w:r>
      <w:r>
        <w:t xml:space="preserve">(the stock jumped from ~</w:t>
      </w:r>
      <m:oMath>
        <m:r>
          <m:t>807</m:t>
        </m:r>
        <m:r>
          <m:t>t</m:t>
        </m:r>
        <m:r>
          <m:t>o</m:t>
        </m:r>
        <m:r>
          <m:t> </m:t>
        </m:r>
      </m:oMath>
      <w:r>
        <w:t xml:space="preserve">958 in a week) and continued through Q2, before giving back gains in late June/early July.</w:t>
      </w:r>
    </w:p>
    <w:p>
      <w:pPr>
        <w:pStyle w:val="Compact"/>
        <w:numPr>
          <w:ilvl w:val="0"/>
          <w:numId w:val="1001"/>
        </w:numPr>
      </w:pPr>
      <w:r>
        <w:t xml:space="preserve">Data-center peer</w:t>
      </w:r>
      <w:r>
        <w:t xml:space="preserve"> </w:t>
      </w:r>
      <w:r>
        <w:rPr>
          <w:b/>
          <w:bCs/>
        </w:rPr>
        <w:t xml:space="preserve">Digital Realty (DLR)</w:t>
      </w:r>
      <w:r>
        <w:t xml:space="preserve"> </w:t>
      </w:r>
      <w:r>
        <w:t xml:space="preserve">has traded broadly in sympathy, so this is partly a sector-wide AI-infrastructure trade — expect EQIX's tone on AI demand to move the whole group.</w:t>
      </w:r>
    </w:p>
    <w:p>
      <w:pPr>
        <w:pStyle w:val="FirstParagraph"/>
      </w:pPr>
      <w:r>
        <w:rPr>
          <w:b/>
          <w:bCs/>
        </w:rPr>
        <w:t xml:space="preserve">Implication:</w:t>
      </w:r>
      <w:r>
        <w:t xml:space="preserve"> </w:t>
      </w:r>
      <w:r>
        <w:t xml:space="preserve">After a ~35% YTD move and a pullback into the print, expectations are elevated. This is a "prove the momentum is durable and the guide is beatable" setup, not a low-bar quarter.</w:t>
      </w:r>
    </w:p>
    <w:p>
      <w:r>
        <w:pict>
          <v:rect style="width:0;height:1.5pt" o:hralign="center" o:hrstd="t" o:hr="t"/>
        </w:pict>
      </w:r>
    </w:p>
    <w:bookmarkEnd w:id="11"/>
    <w:bookmarkStart w:id="12" w:name="X3f5416c33b106094cad8eb0fad7e415a97d4e27"/>
    <w:p>
      <w:pPr>
        <w:pStyle w:val="Heading2"/>
      </w:pPr>
      <w:r>
        <w:t xml:space="preserve">The single most important item: the Hampton xScale lease</w:t>
      </w:r>
    </w:p>
    <w:p>
      <w:pPr>
        <w:pStyle w:val="FirstParagraph"/>
      </w:pPr>
      <w:r>
        <w:t xml:space="preserve">This is the swing factor for the quarter and the cleanest way management's credibility gets tested.</w:t>
      </w:r>
    </w:p>
    <w:p>
      <w:pPr>
        <w:pStyle w:val="Compact"/>
        <w:numPr>
          <w:ilvl w:val="0"/>
          <w:numId w:val="1002"/>
        </w:numPr>
      </w:pPr>
      <w:r>
        <w:t xml:space="preserve">Q1 results</w:t>
      </w:r>
      <w:r>
        <w:t xml:space="preserve"> </w:t>
      </w:r>
      <w:r>
        <w:rPr>
          <w:b/>
          <w:bCs/>
        </w:rPr>
        <w:t xml:space="preserve">excluded</w:t>
      </w:r>
      <w:r>
        <w:t xml:space="preserve"> </w:t>
      </w:r>
      <w:r>
        <w:t xml:space="preserve">the xScale Hampton lease. Management said we are nearing execution on expanded mutually beneficial terms with our customer and that adjusting for Hampton, Q1 revenue/AFFO/AFFO-per-share were all ahead of expectations.</w:t>
      </w:r>
    </w:p>
    <w:p>
      <w:pPr>
        <w:pStyle w:val="Compact"/>
        <w:numPr>
          <w:ilvl w:val="0"/>
          <w:numId w:val="1002"/>
        </w:numPr>
      </w:pPr>
      <w:r>
        <w:t xml:space="preserve">The economics are large and specific. Q1 guidance had assumed an expected contribution of approximately $80 million of revenue, $65 million of AFFO and $0.65 of AFFO per share, and the expanded economics are now included in our guidance for Q2.</w:t>
      </w:r>
    </w:p>
    <w:p>
      <w:pPr>
        <w:pStyle w:val="Compact"/>
        <w:numPr>
          <w:ilvl w:val="0"/>
          <w:numId w:val="1002"/>
        </w:numPr>
      </w:pPr>
      <w:r>
        <w:t xml:space="preserve">Crucially, this timing shift does not impact our full year outlook because the economics were already incorporated.</w:t>
      </w:r>
    </w:p>
    <w:p>
      <w:pPr>
        <w:pStyle w:val="FirstParagraph"/>
      </w:pPr>
      <w:r>
        <w:rPr>
          <w:b/>
          <w:bCs/>
        </w:rPr>
        <w:t xml:space="preserve">What to watch:</w:t>
      </w:r>
      <w:r>
        <w:t xml:space="preserve"> </w:t>
      </w:r>
      <w:r>
        <w:t xml:space="preserve">Did Hampton actually sign in Q2? Q2 revenue guidance of</w:t>
      </w:r>
      <w:r>
        <w:t xml:space="preserve"> </w:t>
      </w:r>
      <w:r>
        <w:rPr>
          <w:b/>
          <w:bCs/>
        </w:rPr>
        <w:t xml:space="preserve">$2.571–2.611B (+6% q/q)</w:t>
      </w:r>
      <w:r>
        <w:t xml:space="preserve"> </w:t>
      </w:r>
      <w:r>
        <w:t xml:space="preserve">and the elevated</w:t>
      </w:r>
      <w:r>
        <w:t xml:space="preserve"> </w:t>
      </w:r>
      <w:r>
        <w:rPr>
          <w:b/>
          <w:bCs/>
        </w:rPr>
        <w:t xml:space="preserve">52–53% Q2 adjusted-EBITDA margin</w:t>
      </w:r>
      <w:r>
        <w:t xml:space="preserve"> </w:t>
      </w:r>
      <w:r>
        <w:t xml:space="preserve">both</w:t>
      </w:r>
      <w:r>
        <w:t xml:space="preserve"> </w:t>
      </w:r>
      <w:r>
        <w:rPr>
          <w:i/>
          <w:iCs/>
        </w:rPr>
        <w:t xml:space="preserve">depend on it landing this quarter</w:t>
      </w:r>
      <w:r>
        <w:t xml:space="preserve">. If it slips again, the optics are poor even though the full year is theoretically unchanged — and it raises questions about xScale deal timing more broadly. Note management framed the rest of the year's xScale deals as relatively small in nature, with the full-year non-recurring revenue (NRR) assumption at ~5.8%. Also listen for any update on the larger</w:t>
      </w:r>
      <w:r>
        <w:t xml:space="preserve"> </w:t>
      </w:r>
      <w:r>
        <w:rPr>
          <w:b/>
          <w:bCs/>
        </w:rPr>
        <w:t xml:space="preserve">Manuka campus</w:t>
      </w:r>
      <w:r>
        <w:t xml:space="preserve"> </w:t>
      </w:r>
      <w:r>
        <w:t xml:space="preserve">pre-lease, which management pushed to "second half" and beyond.</w:t>
      </w:r>
    </w:p>
    <w:p>
      <w:r>
        <w:pict>
          <v:rect style="width:0;height:1.5pt" o:hralign="center" o:hrstd="t" o:hr="t"/>
        </w:pict>
      </w:r>
    </w:p>
    <w:bookmarkEnd w:id="12"/>
    <w:bookmarkStart w:id="13" w:name="guidance-the-numbers-to-grade-against"/>
    <w:p>
      <w:pPr>
        <w:pStyle w:val="Heading2"/>
      </w:pPr>
      <w:r>
        <w:t xml:space="preserve">Guidance: the numbers to grade against</w:t>
      </w:r>
    </w:p>
    <w:p>
      <w:pPr>
        <w:pStyle w:val="FirstParagraph"/>
      </w:pPr>
      <w:r>
        <w:rPr>
          <w:b/>
          <w:bCs/>
        </w:rPr>
        <w:t xml:space="preserve">Q2 2026 guidance (from the Q1 release):</w:t>
      </w:r>
      <w:r>
        <w:t xml:space="preserve"> </w:t>
      </w:r>
      <w:r>
        <w:t xml:space="preserve">| Metric | Guidance |</w:t>
      </w:r>
      <w:r>
        <w:t xml:space="preserve"> </w:t>
      </w:r>
      <w:r>
        <w:t xml:space="preserve">|---|---|</w:t>
      </w:r>
      <w:r>
        <w:t xml:space="preserve"> </w:t>
      </w:r>
      <w:r>
        <w:t xml:space="preserve">| Revenue | $2.571–2.611B (+6% q/q at midpoint) |</w:t>
      </w:r>
      <w:r>
        <w:t xml:space="preserve"> </w:t>
      </w:r>
      <w:r>
        <w:t xml:space="preserve">| Adjusted EBITDA | $1.349–1.389B |</w:t>
      </w:r>
      <w:r>
        <w:t xml:space="preserve"> </w:t>
      </w:r>
      <w:r>
        <w:t xml:space="preserve">| Adj. EBITDA margin | ~52–53% |</w:t>
      </w:r>
      <w:r>
        <w:t xml:space="preserve"> </w:t>
      </w:r>
      <w:r>
        <w:t xml:space="preserve">| MRR growth (norm. cc) | +10–11% y/y |</w:t>
      </w:r>
      <w:r>
        <w:t xml:space="preserve"> </w:t>
      </w:r>
      <w:r>
        <w:t xml:space="preserve">| Recurring capex | $46–66M |</w:t>
      </w:r>
    </w:p>
    <w:p>
      <w:pPr>
        <w:pStyle w:val="BodyText"/>
      </w:pPr>
      <w:r>
        <w:rPr>
          <w:b/>
          <w:bCs/>
        </w:rPr>
        <w:t xml:space="preserve">Full-year 2026 guidance (raised at Q1):</w:t>
      </w:r>
    </w:p>
    <w:p>
      <w:pPr>
        <w:pStyle w:val="Compact"/>
        <w:numPr>
          <w:ilvl w:val="0"/>
          <w:numId w:val="1003"/>
        </w:numPr>
      </w:pPr>
      <w:r>
        <w:t xml:space="preserve">Total revenues are expected to range between $10.144 and $10.244 billion, an increase of approximately 10–11% over the previous year, including a $21M raise from Q1 outperformance.</w:t>
      </w:r>
    </w:p>
    <w:p>
      <w:pPr>
        <w:pStyle w:val="Compact"/>
        <w:numPr>
          <w:ilvl w:val="0"/>
          <w:numId w:val="1003"/>
        </w:numPr>
      </w:pPr>
      <w:r>
        <w:t xml:space="preserve">Adjusted EBITDA is expected to range between $5.165 and $5.245 billion, reflecting an adjusted EBITDA margin of 51% (a ~200 bps improvement y/y).</w:t>
      </w:r>
    </w:p>
    <w:p>
      <w:pPr>
        <w:pStyle w:val="Compact"/>
        <w:numPr>
          <w:ilvl w:val="0"/>
          <w:numId w:val="1003"/>
        </w:numPr>
      </w:pPr>
      <w:r>
        <w:t xml:space="preserve">AFFO is expected to range between $4.198 and $4.278 billion... AFFO per share is expected to range between $42.31 and $43.11, an increase of 10–12% over the previous year on an as-reported basis, or 9–11% on a normalized and constant currency basis.</w:t>
      </w:r>
    </w:p>
    <w:p>
      <w:pPr>
        <w:pStyle w:val="Compact"/>
        <w:numPr>
          <w:ilvl w:val="0"/>
          <w:numId w:val="1003"/>
        </w:numPr>
      </w:pPr>
      <w:r>
        <w:t xml:space="preserve">Total capex ~$4.1B (at the top end of the prior range).</w:t>
      </w:r>
    </w:p>
    <w:p>
      <w:pPr>
        <w:pStyle w:val="FirstParagraph"/>
      </w:pPr>
      <w:r>
        <w:rPr>
          <w:b/>
          <w:bCs/>
        </w:rPr>
        <w:t xml:space="preserve">What to watch:</w:t>
      </w:r>
      <w:r>
        <w:t xml:space="preserve"> </w:t>
      </w:r>
      <w:r>
        <w:t xml:space="preserve">A second consecutive guidance raise would be the bull signal, but the more likely question is</w:t>
      </w:r>
      <w:r>
        <w:t xml:space="preserve"> </w:t>
      </w:r>
      <w:r>
        <w:rPr>
          <w:i/>
          <w:iCs/>
        </w:rPr>
        <w:t xml:space="preserve">whether they raise again after front-loading the Q1 beat into the full-year</w:t>
      </w:r>
      <w:r>
        <w:t xml:space="preserve">. Watch the split between "operational" outperformance and FX. Management has emphasized this is a story where the revenue growth inflection to the high end of its long-term 7–10% range is</w:t>
      </w:r>
      <w:r>
        <w:t xml:space="preserve"> </w:t>
      </w:r>
      <w:r>
        <w:rPr>
          <w:b/>
          <w:bCs/>
        </w:rPr>
        <w:t xml:space="preserve">back-half-2027 loaded</w:t>
      </w:r>
      <w:r>
        <w:t xml:space="preserve"> </w:t>
      </w:r>
      <w:r>
        <w:t xml:space="preserve">(tied to capacity coming online), so near-term the growth acceleration is more of a margin/AFFO story than a revenue story.</w:t>
      </w:r>
    </w:p>
    <w:p>
      <w:r>
        <w:pict>
          <v:rect style="width:0;height:1.5pt" o:hralign="center" o:hrstd="t" o:hr="t"/>
        </w:pict>
      </w:r>
    </w:p>
    <w:bookmarkEnd w:id="13"/>
    <w:bookmarkStart w:id="14" w:name="q1-scorecard-the-momentum-going-in"/>
    <w:p>
      <w:pPr>
        <w:pStyle w:val="Heading2"/>
      </w:pPr>
      <w:r>
        <w:t xml:space="preserve">Q1 scorecard (the momentum going in)</w:t>
      </w:r>
    </w:p>
    <w:p>
      <w:pPr>
        <w:pStyle w:val="FirstParagraph"/>
      </w:pPr>
      <w:r>
        <w:t xml:space="preserve">The bar for "durable momentum" was set high last quarter:</w:t>
      </w:r>
    </w:p>
    <w:p>
      <w:pPr>
        <w:pStyle w:val="Compact"/>
        <w:numPr>
          <w:ilvl w:val="0"/>
          <w:numId w:val="1004"/>
        </w:numPr>
      </w:pPr>
      <w:r>
        <w:t xml:space="preserve">Recurring revenue grew 10% on a normalized and constant currency basis... This is our second straight quarter of double-digit MRR growth.</w:t>
      </w:r>
    </w:p>
    <w:p>
      <w:pPr>
        <w:pStyle w:val="Compact"/>
        <w:numPr>
          <w:ilvl w:val="0"/>
          <w:numId w:val="1004"/>
        </w:numPr>
      </w:pPr>
      <w:r>
        <w:t xml:space="preserve">Adjusted EBITDA was $1.2 billion, up 13% year-over-year, resulting in a 51% adjusted EBITDA margin, which is up 190 basis points quarter-over-quarter and 300 basis points year-over-year.</w:t>
      </w:r>
    </w:p>
    <w:p>
      <w:pPr>
        <w:pStyle w:val="Compact"/>
        <w:numPr>
          <w:ilvl w:val="0"/>
          <w:numId w:val="1004"/>
        </w:numPr>
      </w:pPr>
      <w:r>
        <w:t xml:space="preserve">Quarterly AFFO surpassed the $1 billion mark for the first time, with AFFO/share of $10.79.</w:t>
      </w:r>
    </w:p>
    <w:p>
      <w:pPr>
        <w:pStyle w:val="Compact"/>
        <w:numPr>
          <w:ilvl w:val="0"/>
          <w:numId w:val="1004"/>
        </w:numPr>
      </w:pPr>
      <w:r>
        <w:t xml:space="preserve">Bookings: annualized gross bookings of $378 million in Q1, up 9% year-over-year, with approximately $140 million of preselling activity on top of that — described as a record backlog and total sales activity up ~35% y/y.</w:t>
      </w:r>
    </w:p>
    <w:p>
      <w:pPr>
        <w:pStyle w:val="Compact"/>
        <w:numPr>
          <w:ilvl w:val="0"/>
          <w:numId w:val="1004"/>
        </w:numPr>
      </w:pPr>
      <w:r>
        <w:t xml:space="preserve">Churn came in</w:t>
      </w:r>
      <w:r>
        <w:t xml:space="preserve"> </w:t>
      </w:r>
      <w:r>
        <w:rPr>
          <w:b/>
          <w:bCs/>
        </w:rPr>
        <w:t xml:space="preserve">below</w:t>
      </w:r>
      <w:r>
        <w:t xml:space="preserve"> </w:t>
      </w:r>
      <w:r>
        <w:t xml:space="preserve">the 2–2.5% range at 1.7% (helped by timing/delayed churn), and MRR per cabinet rose to $2,524, +7% y/y.</w:t>
      </w:r>
    </w:p>
    <w:p>
      <w:pPr>
        <w:pStyle w:val="Compact"/>
        <w:numPr>
          <w:ilvl w:val="0"/>
          <w:numId w:val="1004"/>
        </w:numPr>
      </w:pPr>
      <w:r>
        <w:t xml:space="preserve">Interconnection: total interconnection revenue +9%, with fabric revenue growth of 26% year-over-year. Fabric bookings were up 70% year-over-year as our attach rate continues to increase.</w:t>
      </w:r>
    </w:p>
    <w:p>
      <w:pPr>
        <w:pStyle w:val="FirstParagraph"/>
      </w:pPr>
      <w:r>
        <w:rPr>
          <w:b/>
          <w:bCs/>
        </w:rPr>
        <w:t xml:space="preserve">What to watch in Q2:</w:t>
      </w:r>
    </w:p>
    <w:p>
      <w:pPr>
        <w:pStyle w:val="Compact"/>
        <w:numPr>
          <w:ilvl w:val="0"/>
          <w:numId w:val="1005"/>
        </w:numPr>
      </w:pPr>
      <w:r>
        <w:rPr>
          <w:b/>
          <w:bCs/>
        </w:rPr>
        <w:t xml:space="preserve">A third straight quarter of double-digit MRR growth</w:t>
      </w:r>
      <w:r>
        <w:t xml:space="preserve"> </w:t>
      </w:r>
      <w:r>
        <w:t xml:space="preserve">— the single cleanest read on the core.</w:t>
      </w:r>
    </w:p>
    <w:p>
      <w:pPr>
        <w:pStyle w:val="Compact"/>
        <w:numPr>
          <w:ilvl w:val="0"/>
          <w:numId w:val="1005"/>
        </w:numPr>
      </w:pPr>
      <w:r>
        <w:rPr>
          <w:b/>
          <w:bCs/>
        </w:rPr>
        <w:t xml:space="preserve">Bookings/backlog</w:t>
      </w:r>
      <w:r>
        <w:t xml:space="preserve"> </w:t>
      </w:r>
      <w:r>
        <w:t xml:space="preserve">— management said it is working to "even out" Q1→Q4 seasonality; a soft sequential bookings number would raise questions about the 2027 revenue-inflection thesis. Watch the AI mix (was ~60% of largest deals).</w:t>
      </w:r>
    </w:p>
    <w:p>
      <w:pPr>
        <w:pStyle w:val="Compact"/>
        <w:numPr>
          <w:ilvl w:val="0"/>
          <w:numId w:val="1005"/>
        </w:numPr>
      </w:pPr>
      <w:r>
        <w:rPr>
          <w:b/>
          <w:bCs/>
        </w:rPr>
        <w:t xml:space="preserve">Churn</w:t>
      </w:r>
      <w:r>
        <w:t xml:space="preserve"> </w:t>
      </w:r>
      <w:r>
        <w:t xml:space="preserve">— 1.7% was flattered by timing; management deliberately kept the 2–2.5% full-year range and said it is "tracking towards the low end." A pop back up would be expected/benign; a spike would not.</w:t>
      </w:r>
    </w:p>
    <w:p>
      <w:pPr>
        <w:pStyle w:val="Compact"/>
        <w:numPr>
          <w:ilvl w:val="0"/>
          <w:numId w:val="1005"/>
        </w:numPr>
      </w:pPr>
      <w:r>
        <w:rPr>
          <w:b/>
          <w:bCs/>
        </w:rPr>
        <w:t xml:space="preserve">Interconnection &amp; Fabric</w:t>
      </w:r>
      <w:r>
        <w:t xml:space="preserve"> </w:t>
      </w:r>
      <w:r>
        <w:t xml:space="preserve">— the highest-margin, hardest-to-replicate part of the story; watch whether Fabric's ~26% revenue / ~70% bookings growth holds.</w:t>
      </w:r>
    </w:p>
    <w:p>
      <w:r>
        <w:pict>
          <v:rect style="width:0;height:1.5pt" o:hralign="center" o:hrstd="t" o:hr="t"/>
        </w:pict>
      </w:r>
    </w:p>
    <w:bookmarkEnd w:id="14"/>
    <w:bookmarkStart w:id="15" w:name="X64dafcb660923c65f2d7555f8bae38a0f560dd6"/>
    <w:p>
      <w:pPr>
        <w:pStyle w:val="Heading2"/>
      </w:pPr>
      <w:r>
        <w:t xml:space="preserve">Management transition — a real overhang this quarter</w:t>
      </w:r>
    </w:p>
    <w:p>
      <w:pPr>
        <w:pStyle w:val="FirstParagraph"/>
      </w:pPr>
      <w:r>
        <w:t xml:space="preserve">There has been a notable amount of C-suite churn to address on the call:</w:t>
      </w:r>
    </w:p>
    <w:p>
      <w:pPr>
        <w:pStyle w:val="Compact"/>
        <w:numPr>
          <w:ilvl w:val="0"/>
          <w:numId w:val="1006"/>
        </w:numPr>
      </w:pPr>
      <w:r>
        <w:rPr>
          <w:b/>
          <w:bCs/>
        </w:rPr>
        <w:t xml:space="preserve">New CFO Olivier Leonetti</w:t>
      </w:r>
      <w:r>
        <w:t xml:space="preserve"> </w:t>
      </w:r>
      <w:r>
        <w:t xml:space="preserve">(ex-Eaton, ex-Johnson Controls) joined in March; Q2 is effectively his first full quarter driving the call. He has signaled continuity: we're going to keep the course that has worked pretty well for the organization... we want first to use debt as a way to finance our growth. Note this is a handoff from long-time CFO Keith Taylor, who delivered the 2025 Investor Day framework.</w:t>
      </w:r>
    </w:p>
    <w:p>
      <w:pPr>
        <w:pStyle w:val="Compact"/>
        <w:numPr>
          <w:ilvl w:val="0"/>
          <w:numId w:val="1006"/>
        </w:numPr>
      </w:pPr>
      <w:r>
        <w:rPr>
          <w:b/>
          <w:bCs/>
        </w:rPr>
        <w:t xml:space="preserve">Chief Business Officer Jon Lin is departing</w:t>
      </w:r>
      <w:r>
        <w:t xml:space="preserve">, effective July 18, 2026. Per the 8-K, the Company has implemented a transition plan, distributing responsibilities across its existing senior leadership team... This includes the expected announcement of a new Chief Product Officer in the near future. Lin was a central figure at the 2025 Investor Day and the face of the interconnection/Build-Bolder narrative — his exit is worth probing.</w:t>
      </w:r>
    </w:p>
    <w:p>
      <w:pPr>
        <w:pStyle w:val="Compact"/>
        <w:numPr>
          <w:ilvl w:val="0"/>
          <w:numId w:val="1006"/>
        </w:numPr>
      </w:pPr>
      <w:r>
        <w:t xml:space="preserve">Chief Accounting Officer</w:t>
      </w:r>
      <w:r>
        <w:t xml:space="preserve"> </w:t>
      </w:r>
      <w:r>
        <w:rPr>
          <w:b/>
          <w:bCs/>
        </w:rPr>
        <w:t xml:space="preserve">Simon Miller</w:t>
      </w:r>
      <w:r>
        <w:t xml:space="preserve"> </w:t>
      </w:r>
      <w:r>
        <w:t xml:space="preserve">is also retiring (announced May).</w:t>
      </w:r>
    </w:p>
    <w:p>
      <w:pPr>
        <w:pStyle w:val="FirstParagraph"/>
      </w:pPr>
      <w:r>
        <w:rPr>
          <w:b/>
          <w:bCs/>
        </w:rPr>
        <w:t xml:space="preserve">What to watch:</w:t>
      </w:r>
      <w:r>
        <w:t xml:space="preserve"> </w:t>
      </w:r>
      <w:r>
        <w:t xml:space="preserve">Expect analysts to ask whether the leadership turnover signals anything about strategy or execution. Watch for reassurance on the go-to-market/product roadmap continuity and any commentary on the incoming Chief Product Officer.</w:t>
      </w:r>
    </w:p>
    <w:p>
      <w:r>
        <w:pict>
          <v:rect style="width:0;height:1.5pt" o:hralign="center" o:hrstd="t" o:hr="t"/>
        </w:pict>
      </w:r>
    </w:p>
    <w:bookmarkEnd w:id="15"/>
    <w:bookmarkStart w:id="16" w:name="other-items-likely-to-come-up"/>
    <w:p>
      <w:pPr>
        <w:pStyle w:val="Heading2"/>
      </w:pPr>
      <w:r>
        <w:t xml:space="preserve">Other items likely to come up</w:t>
      </w:r>
    </w:p>
    <w:p>
      <w:pPr>
        <w:pStyle w:val="Compact"/>
        <w:numPr>
          <w:ilvl w:val="0"/>
          <w:numId w:val="1007"/>
        </w:numPr>
      </w:pPr>
      <w:r>
        <w:rPr>
          <w:b/>
          <w:bCs/>
        </w:rPr>
        <w:t xml:space="preserve">atNorth / Nordics:</w:t>
      </w:r>
      <w:r>
        <w:t xml:space="preserve"> </w:t>
      </w:r>
      <w:r>
        <w:t xml:space="preserve">the CPP Investment Board JV to acquire atNorth (an ~800 MW Nordic development pipeline) was announced as immediately accretive to AFFO per share upon closing. Watch for a</w:t>
      </w:r>
      <w:r>
        <w:t xml:space="preserve"> </w:t>
      </w:r>
      <w:r>
        <w:rPr>
          <w:b/>
          <w:bCs/>
        </w:rPr>
        <w:t xml:space="preserve">closing update</w:t>
      </w:r>
      <w:r>
        <w:t xml:space="preserve"> </w:t>
      </w:r>
      <w:r>
        <w:t xml:space="preserve">and whether it's now baked into guidance.</w:t>
      </w:r>
    </w:p>
    <w:p>
      <w:pPr>
        <w:pStyle w:val="Compact"/>
        <w:numPr>
          <w:ilvl w:val="0"/>
          <w:numId w:val="1007"/>
        </w:numPr>
      </w:pPr>
      <w:r>
        <w:rPr>
          <w:b/>
          <w:bCs/>
        </w:rPr>
        <w:t xml:space="preserve">Capex &amp; "Build Bolder":</w:t>
      </w:r>
      <w:r>
        <w:t xml:space="preserve"> </w:t>
      </w:r>
      <w:r>
        <w:t xml:space="preserve">FY capex sits at the top of the range (~</w:t>
      </w:r>
      <m:oMath>
        <m:r>
          <m:t>4.1</m:t>
        </m:r>
        <m:r>
          <m:t>B</m:t>
        </m:r>
        <m:r>
          <m:rPr>
            <m:sty m:val="p"/>
          </m:rPr>
          <m:t>,</m:t>
        </m:r>
        <m:r>
          <m:t> </m:t>
        </m:r>
      </m:oMath>
      <w:r>
        <w:t xml:space="preserve">3.8B non-recurring). Management said it continues to evaluate opportunities to accelerate our capacity. A bigger capex step-up would fit the Investor Day plan to roughly double capacity by 2029 — but watch the AFFO-per-share "drag" trade-off management flagged (they warned of ~$7 of investment drag by 2029). Any capex raise needs to be framed against returns (they reiterate</w:t>
      </w:r>
      <w:r>
        <w:t xml:space="preserve"> </w:t>
      </w:r>
      <w:r>
        <w:rPr>
          <w:b/>
          <w:bCs/>
        </w:rPr>
        <w:t xml:space="preserve">mid-20s% cash-on-cash</w:t>
      </w:r>
      <w:r>
        <w:t xml:space="preserve">).</w:t>
      </w:r>
    </w:p>
    <w:p>
      <w:pPr>
        <w:pStyle w:val="Compact"/>
        <w:numPr>
          <w:ilvl w:val="0"/>
          <w:numId w:val="1007"/>
        </w:numPr>
      </w:pPr>
      <w:r>
        <w:rPr>
          <w:b/>
          <w:bCs/>
        </w:rPr>
        <w:t xml:space="preserve">Power, energy &amp; AI density:</w:t>
      </w:r>
      <w:r>
        <w:t xml:space="preserve"> </w:t>
      </w:r>
      <w:r>
        <w:t xml:space="preserve">management is &gt;90% hedged on 2026 energy, so cost inflation should be a non-issue near-term. Watch commentary on power availability as the binding constraint, liquid-cooling deployment growth (36 deployments, +50% q/q in Q1), and the neocloud/AI-model-provider node count (110+ nodes; 8 of top 10 model providers, 4 of top 5 neoclouds).</w:t>
      </w:r>
    </w:p>
    <w:p>
      <w:pPr>
        <w:pStyle w:val="Compact"/>
        <w:numPr>
          <w:ilvl w:val="0"/>
          <w:numId w:val="1007"/>
        </w:numPr>
      </w:pPr>
      <w:r>
        <w:rPr>
          <w:b/>
          <w:bCs/>
        </w:rPr>
        <w:t xml:space="preserve">Balance sheet:</w:t>
      </w:r>
      <w:r>
        <w:t xml:space="preserve"> </w:t>
      </w:r>
      <w:r>
        <w:t xml:space="preserve">net leverage was 3.8x with ~</w:t>
      </w:r>
      <m:oMath>
        <m:r>
          <m:t>3.1</m:t>
        </m:r>
        <m:r>
          <m:t>B</m:t>
        </m:r>
        <m:r>
          <m:t>c</m:t>
        </m:r>
        <m:r>
          <m:t>a</m:t>
        </m:r>
        <m:r>
          <m:t>s</m:t>
        </m:r>
        <m:r>
          <m:t>h</m:t>
        </m:r>
        <m:r>
          <m:rPr>
            <m:sty m:val="p"/>
          </m:rPr>
          <m:t>;</m:t>
        </m:r>
        <m:r>
          <m:t>t</m:t>
        </m:r>
        <m:r>
          <m:t>h</m:t>
        </m:r>
        <m:r>
          <m:t>e</m:t>
        </m:r>
        <m:r>
          <m:t>I</m:t>
        </m:r>
        <m:r>
          <m:t>n</m:t>
        </m:r>
        <m:r>
          <m:t>v</m:t>
        </m:r>
        <m:r>
          <m:t>e</m:t>
        </m:r>
        <m:r>
          <m:t>s</m:t>
        </m:r>
        <m:r>
          <m:t>t</m:t>
        </m:r>
        <m:r>
          <m:t>o</m:t>
        </m:r>
        <m:r>
          <m:t>r</m:t>
        </m:r>
        <m:r>
          <m:t>D</m:t>
        </m:r>
        <m:r>
          <m:t>a</m:t>
        </m:r>
        <m:r>
          <m:t>y</m:t>
        </m:r>
        <m:r>
          <m:t>p</m:t>
        </m:r>
        <m:r>
          <m:t>l</m:t>
        </m:r>
        <m:r>
          <m:t>a</m:t>
        </m:r>
        <m:r>
          <m:t>n</m:t>
        </m:r>
        <m:r>
          <m:t>i</m:t>
        </m:r>
        <m:r>
          <m:t>s</m:t>
        </m:r>
        <m:r>
          <m:t>t</m:t>
        </m:r>
        <m:r>
          <m:t>o</m:t>
        </m:r>
        <m:r>
          <m:t>t</m:t>
        </m:r>
        <m:r>
          <m:t>a</m:t>
        </m:r>
        <m:r>
          <m:t>k</m:t>
        </m:r>
        <m:r>
          <m:t>e</m:t>
        </m:r>
        <m:r>
          <m:t>l</m:t>
        </m:r>
        <m:r>
          <m:t>e</m:t>
        </m:r>
        <m:r>
          <m:t>v</m:t>
        </m:r>
        <m:r>
          <m:t>e</m:t>
        </m:r>
        <m:r>
          <m:t>r</m:t>
        </m:r>
        <m:r>
          <m:t>a</m:t>
        </m:r>
        <m:r>
          <m:t>g</m:t>
        </m:r>
        <m:r>
          <m:t>e</m:t>
        </m:r>
        <m:r>
          <m:t>u</m:t>
        </m:r>
        <m:r>
          <m:t>p</m:t>
        </m:r>
        <m:r>
          <m:t> </m:t>
        </m:r>
        <m:r>
          <m:t>o</m:t>
        </m:r>
        <m:r>
          <m:t>n</m:t>
        </m:r>
        <m:r>
          <m:t>e</m:t>
        </m:r>
        <m:r>
          <m:t>t</m:t>
        </m:r>
        <m:r>
          <m:t>u</m:t>
        </m:r>
        <m:r>
          <m:t>r</m:t>
        </m:r>
        <m:r>
          <m:t>n</m:t>
        </m:r>
        <m:r>
          <m:rPr>
            <m:sty m:val="p"/>
          </m:rPr>
          <m:t>(</m:t>
        </m:r>
        <m:r>
          <m:t>t</m:t>
        </m:r>
        <m:r>
          <m:t>o</m:t>
        </m:r>
        <m:r>
          <m:t>w</m:t>
        </m:r>
        <m:r>
          <m:t>a</m:t>
        </m:r>
        <m:r>
          <m:t>r</m:t>
        </m:r>
        <m:r>
          <m:t>d</m:t>
        </m:r>
        <m:r>
          <m:t> </m:t>
        </m:r>
        <m:r>
          <m:t>4.5</m:t>
        </m:r>
        <m:r>
          <m:t>x</m:t>
        </m:r>
        <m:r>
          <m:rPr>
            <m:sty m:val="p"/>
          </m:rPr>
          <m:t>)</m:t>
        </m:r>
        <m:r>
          <m:t>t</m:t>
        </m:r>
        <m:r>
          <m:t>o</m:t>
        </m:r>
        <m:r>
          <m:t>f</m:t>
        </m:r>
        <m:r>
          <m:t>u</m:t>
        </m:r>
        <m:r>
          <m:t>n</m:t>
        </m:r>
        <m:r>
          <m:t>d</m:t>
        </m:r>
        <m:r>
          <m:t>g</m:t>
        </m:r>
        <m:r>
          <m:t>r</m:t>
        </m:r>
        <m:r>
          <m:t>o</m:t>
        </m:r>
        <m:r>
          <m:t>w</m:t>
        </m:r>
        <m:r>
          <m:t>t</m:t>
        </m:r>
        <m:r>
          <m:t>h</m:t>
        </m:r>
        <m:r>
          <m:t>w</m:t>
        </m:r>
        <m:r>
          <m:t>i</m:t>
        </m:r>
        <m:r>
          <m:t>t</m:t>
        </m:r>
        <m:r>
          <m:t>h</m:t>
        </m:r>
        <m:r>
          <m:t>d</m:t>
        </m:r>
        <m:r>
          <m:t>e</m:t>
        </m:r>
        <m:r>
          <m:t>b</m:t>
        </m:r>
        <m:r>
          <m:t>t</m:t>
        </m:r>
        <m:r>
          <m:rPr>
            <m:sty m:val="p"/>
          </m:rPr>
          <m:t>,</m:t>
        </m:r>
        <m:r>
          <m:t>e</m:t>
        </m:r>
        <m:r>
          <m:t>x</m:t>
        </m:r>
        <m:r>
          <m:t>p</m:t>
        </m:r>
        <m:r>
          <m:t>l</m:t>
        </m:r>
        <m:r>
          <m:t>i</m:t>
        </m:r>
        <m:r>
          <m:t>c</m:t>
        </m:r>
        <m:r>
          <m:t>i</m:t>
        </m:r>
        <m:r>
          <m:t>t</m:t>
        </m:r>
        <m:r>
          <m:t>l</m:t>
        </m:r>
        <m:r>
          <m:t>y</m:t>
        </m:r>
        <m:r>
          <m:rPr>
            <m:sty m:val="p"/>
          </m:rPr>
          <m:t>*</m:t>
        </m:r>
        <m:r>
          <m:rPr>
            <m:sty m:val="p"/>
          </m:rPr>
          <m:t>*</m:t>
        </m:r>
        <m:r>
          <m:t>n</m:t>
        </m:r>
        <m:r>
          <m:t>o</m:t>
        </m:r>
        <m:r>
          <m:t>t</m:t>
        </m:r>
        <m:r>
          <m:t>e</m:t>
        </m:r>
        <m:r>
          <m:t>q</m:t>
        </m:r>
        <m:r>
          <m:t>u</m:t>
        </m:r>
        <m:r>
          <m:t>i</m:t>
        </m:r>
        <m:r>
          <m:t>t</m:t>
        </m:r>
        <m:r>
          <m:t>y</m:t>
        </m:r>
        <m:r>
          <m:rPr>
            <m:sty m:val="p"/>
          </m:rPr>
          <m:t>*</m:t>
        </m:r>
        <m:r>
          <m:rPr>
            <m:sty m:val="p"/>
          </m:rPr>
          <m:t>*</m:t>
        </m:r>
        <m:r>
          <m:rPr>
            <m:sty m:val="p"/>
          </m:rPr>
          <m:t>.</m:t>
        </m:r>
        <m:r>
          <m:t>T</m:t>
        </m:r>
        <m:r>
          <m:t>h</m:t>
        </m:r>
        <m:r>
          <m:t>e</m:t>
        </m:r>
        <m:r>
          <m:t>c</m:t>
        </m:r>
        <m:r>
          <m:t>o</m:t>
        </m:r>
        <m:r>
          <m:t>m</m:t>
        </m:r>
        <m:r>
          <m:t>p</m:t>
        </m:r>
        <m:r>
          <m:t>a</m:t>
        </m:r>
        <m:r>
          <m:t>n</m:t>
        </m:r>
        <m:r>
          <m:t>y</m:t>
        </m:r>
        <m:r>
          <m:t>h</m:t>
        </m:r>
        <m:r>
          <m:t>a</m:t>
        </m:r>
        <m:r>
          <m:t>s</m:t>
        </m:r>
        <m:r>
          <m:t>b</m:t>
        </m:r>
        <m:r>
          <m:t>e</m:t>
        </m:r>
        <m:r>
          <m:t>e</m:t>
        </m:r>
        <m:r>
          <m:t>n</m:t>
        </m:r>
        <m:r>
          <m:t>i</m:t>
        </m:r>
        <m:r>
          <m:t>s</m:t>
        </m:r>
        <m:r>
          <m:t>s</m:t>
        </m:r>
        <m:r>
          <m:t>u</m:t>
        </m:r>
        <m:r>
          <m:t>i</m:t>
        </m:r>
        <m:r>
          <m:t>n</m:t>
        </m:r>
        <m:r>
          <m:t>g</m:t>
        </m:r>
        <m:r>
          <m:t>l</m:t>
        </m:r>
        <m:r>
          <m:t>o</m:t>
        </m:r>
        <m:r>
          <m:t>w</m:t>
        </m:r>
        <m:r>
          <m:rPr>
            <m:sty m:val="p"/>
          </m:rPr>
          <m:t>−</m:t>
        </m:r>
        <m:r>
          <m:t>c</m:t>
        </m:r>
        <m:r>
          <m:t>o</m:t>
        </m:r>
        <m:r>
          <m:t>u</m:t>
        </m:r>
        <m:r>
          <m:t>p</m:t>
        </m:r>
        <m:r>
          <m:t>o</m:t>
        </m:r>
        <m:r>
          <m:t>n</m:t>
        </m:r>
        <m:r>
          <m:t>n</m:t>
        </m:r>
        <m:r>
          <m:t>o</m:t>
        </m:r>
        <m:r>
          <m:t>t</m:t>
        </m:r>
        <m:r>
          <m:t>e</m:t>
        </m:r>
        <m:r>
          <m:t>s</m:t>
        </m:r>
        <m:r>
          <m:t>g</m:t>
        </m:r>
        <m:r>
          <m:t>l</m:t>
        </m:r>
        <m:r>
          <m:t>o</m:t>
        </m:r>
        <m:r>
          <m:t>b</m:t>
        </m:r>
        <m:r>
          <m:t>a</m:t>
        </m:r>
        <m:r>
          <m:t>l</m:t>
        </m:r>
        <m:r>
          <m:t>l</m:t>
        </m:r>
        <m:r>
          <m:t>y</m:t>
        </m:r>
        <m:r>
          <m:rPr>
            <m:sty m:val="p"/>
          </m:rPr>
          <m:t>(</m:t>
        </m:r>
      </m:oMath>
      <w:r>
        <w:t xml:space="preserve">1.5B at a 3.1% blended rate in Q1). Rising net interest expense (~$200M incremental in 2026) is the built-in AFFO headwind to monitor.</w:t>
      </w:r>
    </w:p>
    <w:p>
      <w:r>
        <w:pict>
          <v:rect style="width:0;height:1.5pt" o:hralign="center" o:hrstd="t" o:hr="t"/>
        </w:pict>
      </w:r>
    </w:p>
    <w:bookmarkEnd w:id="16"/>
    <w:bookmarkStart w:id="17" w:name="bottom-line--how-to-judge-the-print"/>
    <w:p>
      <w:pPr>
        <w:pStyle w:val="Heading2"/>
      </w:pPr>
      <w:r>
        <w:t xml:space="preserve">Bottom line — how to judge the print</w:t>
      </w:r>
    </w:p>
    <w:p>
      <w:pPr>
        <w:pStyle w:val="FirstParagraph"/>
      </w:pPr>
      <w:r>
        <w:rPr>
          <w:b/>
          <w:bCs/>
        </w:rPr>
        <w:t xml:space="preserve">Bullish tells:</w:t>
      </w:r>
      <w:r>
        <w:t xml:space="preserve"> </w:t>
      </w:r>
      <w:r>
        <w:t xml:space="preserve">Hampton signs and Q2 lands in/above the 52–53% margin range; a third straight quarter of double-digit MRR growth; another full-year guidance raise; strong AI-related bookings and Fabric momentum; a clean, confident CFO debut and reassuring commentary on the Jon Lin transition.</w:t>
      </w:r>
    </w:p>
    <w:p>
      <w:pPr>
        <w:pStyle w:val="BodyText"/>
      </w:pPr>
      <w:r>
        <w:rPr>
          <w:b/>
          <w:bCs/>
        </w:rPr>
        <w:t xml:space="preserve">Bearish tells:</w:t>
      </w:r>
      <w:r>
        <w:t xml:space="preserve"> </w:t>
      </w:r>
      <w:r>
        <w:t xml:space="preserve">Hampton slips again (even if FY is "unchanged," it dents credibility on deal timing); bookings decelerate more than seasonality explains; churn surprises to the high side; capex rises without a clear return/AFFO framing; or the leadership turnover reads as strategic rather than routine.</w:t>
      </w:r>
    </w:p>
    <w:p>
      <w:pPr>
        <w:pStyle w:val="BodyText"/>
      </w:pPr>
      <w:r>
        <w:t xml:space="preserve">Given the ~35% YTD run and pullback into the report, the reaction will hinge less on the headline (which guidance largely telegraphs) and more on</w:t>
      </w:r>
      <w:r>
        <w:t xml:space="preserve"> </w:t>
      </w:r>
      <w:r>
        <w:rPr>
          <w:b/>
          <w:bCs/>
        </w:rPr>
        <w:t xml:space="preserve">(1) whether Hampton actually closed, (2) the durability of double-digit recurring-revenue growth and the margin trajectory, and (3) confidence in the leadership bench</w:t>
      </w:r>
      <w:r>
        <w:t xml:space="preserve">. This is a quality-of-momentum quarter.</w:t>
      </w:r>
    </w:p>
    <w:p>
      <w:pPr>
        <w:pStyle w:val="BodyText"/>
      </w:pPr>
      <w:r>
        <w:rPr>
          <w:i/>
          <w:iCs/>
        </w:rPr>
        <w:t xml:space="preserve">Note: This preview is based on company filings, the Q1 2026 release/call, the 2025 Investor Day, recent 8-Ks, and market data — not investment advice.</w:t>
      </w:r>
    </w:p>
    <w:bookmarkEnd w:id="17"/>
    <w:bookmarkEnd w:id="1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1"/>
  </w:num>
  <w:num w:numId="1007">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2026-07-29T01:48:14Z</dcterms:created>
  <dcterms:modified xsi:type="dcterms:W3CDTF">2026-07-29T01:48:14Z</dcterms:modified>
</cp:coreProperties>
</file>

<file path=docProps/custom.xml><?xml version="1.0" encoding="utf-8"?>
<Properties xmlns="http://schemas.openxmlformats.org/officeDocument/2006/custom-properties" xmlns:vt="http://schemas.openxmlformats.org/officeDocument/2006/docPropsVTypes"/>
</file>