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Equinix (EQIX) across several angles: recent earnings history, guidance, analyst sentiment, and stock performance.Let me dig into the Q1 2026 earnings call transcript and release for details on guidance, and check the CBO departure 8-K, plus recent news/analyst sentiment.Let me get more specifics on the CBO departure and check for any recent analyst commentary or data center sector news specific to EQIX.Let me get the details of the CBO departure 8-K.# Equinix (EQIX) Q2 2026 Earnings Preview</w:t>
      </w:r>
      <w:r>
        <w:t xml:space="preserve"> </w:t>
      </w:r>
      <w:r>
        <w:rPr>
          <w:b/>
          <w:bCs/>
        </w:rPr>
        <w:t xml:space="preserve">Reporting: July 29, 2026 (after market close) | Q1 2026 print: April 29, 2026</w:t>
      </w:r>
    </w:p>
    <w:bookmarkStart w:id="9" w:name="setup"/>
    <w:p>
      <w:pPr>
        <w:pStyle w:val="Heading2"/>
      </w:pPr>
      <w:r>
        <w:t xml:space="preserve">Setup</w:t>
      </w:r>
    </w:p>
    <w:p>
      <w:pPr>
        <w:pStyle w:val="FirstParagraph"/>
      </w:pPr>
      <w:r>
        <w:t xml:space="preserve">EQIX shares enter the print at roughly $1,035, down from a 2026 closing high near</w:t>
      </w:r>
      <w:r>
        <w:t xml:space="preserve"> </w:t>
      </w:r>
      <m:oMath>
        <m:r>
          <m:t>1</m:t>
        </m:r>
        <m:r>
          <m:rPr>
            <m:sty m:val="p"/>
          </m:rPr>
          <m:t>,</m:t>
        </m:r>
        <m:r>
          <m:t>116</m:t>
        </m:r>
        <m:r>
          <m:t>o</m:t>
        </m:r>
        <m:r>
          <m:t>n</m:t>
        </m:r>
        <m:r>
          <m:t>J</m:t>
        </m:r>
        <m:r>
          <m:t>u</m:t>
        </m:r>
        <m:r>
          <m:t>n</m:t>
        </m:r>
        <m:r>
          <m:t>e</m:t>
        </m:r>
        <m:r>
          <m:t>22</m:t>
        </m:r>
        <m:r>
          <m:t>a</m:t>
        </m:r>
        <m:r>
          <m:t>n</m:t>
        </m:r>
        <m:r>
          <m:t>d</m:t>
        </m:r>
        <m:r>
          <m:t>o</m:t>
        </m:r>
        <m:r>
          <m:t>f</m:t>
        </m:r>
        <m:r>
          <m:t>f</m:t>
        </m:r>
        <m:r>
          <m:t>n</m:t>
        </m:r>
        <m:r>
          <m:t>e</m:t>
        </m:r>
        <m:r>
          <m:t>a</m:t>
        </m:r>
        <m:r>
          <m:t>r</m:t>
        </m:r>
        <m:r>
          <m:t>l</m:t>
        </m:r>
        <m:r>
          <m:t>y</m:t>
        </m:r>
        <m:r>
          <m:t>7</m:t>
        </m:r>
      </m:oMath>
      <w:r>
        <w:t xml:space="preserve">764 January level, reflecting strong fundamental momentum through Q1, but the run-up leaves less room for error heading into Q2 results.</w:t>
      </w:r>
    </w:p>
    <w:bookmarkEnd w:id="9"/>
    <w:bookmarkStart w:id="10" w:name="X3198389b800f2d8342863c1907b271efec531b4"/>
    <w:p>
      <w:pPr>
        <w:pStyle w:val="Heading2"/>
      </w:pPr>
      <w:r>
        <w:t xml:space="preserve">What Q1 Told Us — And Why It Matters for Q2</w:t>
      </w:r>
    </w:p>
    <w:p>
      <w:pPr>
        <w:pStyle w:val="FirstParagraph"/>
      </w:pPr>
      <w:r>
        <w:t xml:space="preserve">Equinix's Q1 2026 report (April 29) was strong and guidance was raised across the board, setting an elevated bar. Key Q1 highlights:</w:t>
      </w:r>
    </w:p>
    <w:p>
      <w:pPr>
        <w:pStyle w:val="Compact"/>
        <w:numPr>
          <w:ilvl w:val="0"/>
          <w:numId w:val="1001"/>
        </w:numPr>
      </w:pPr>
      <w:r>
        <w:t xml:space="preserve">Recurring revenue grew 10% on a normalized and constant currency basis, coming in at the high end of expectations, marking the second straight quarter of double-digit MRR growth.</w:t>
      </w:r>
    </w:p>
    <w:p>
      <w:pPr>
        <w:pStyle w:val="Compact"/>
        <w:numPr>
          <w:ilvl w:val="0"/>
          <w:numId w:val="1001"/>
        </w:numPr>
      </w:pPr>
      <w:r>
        <w:t xml:space="preserve">Q1 was the largest quarter of total sales activity in company history, inclusive of bookings and preselling, up more than 35% year-over-year, resulting in a record backlog.</w:t>
      </w:r>
    </w:p>
    <w:p>
      <w:pPr>
        <w:pStyle w:val="Compact"/>
        <w:numPr>
          <w:ilvl w:val="0"/>
          <w:numId w:val="1001"/>
        </w:numPr>
      </w:pPr>
      <w:r>
        <w:t xml:space="preserve">Quarterly AFFO surpassed the $1 billion mark for the first time, up 11% year-over-year, with AFFO per share of $10.79, up 10% year-over-year.</w:t>
      </w:r>
    </w:p>
    <w:p>
      <w:pPr>
        <w:pStyle w:val="Compact"/>
        <w:numPr>
          <w:ilvl w:val="0"/>
          <w:numId w:val="1001"/>
        </w:numPr>
      </w:pPr>
      <w:r>
        <w:t xml:space="preserve">Adjusted EBITDA margin hit a record 51%, up 300bps year-over-year, reflecting cost discipline and scale.</w:t>
      </w:r>
    </w:p>
    <w:p>
      <w:pPr>
        <w:pStyle w:val="FirstParagraph"/>
      </w:pPr>
      <w:r>
        <w:rPr>
          <w:b/>
          <w:bCs/>
        </w:rPr>
        <w:t xml:space="preserve">The critical modeling nuance for Q2: the xScale Hampton lease.</w:t>
      </w:r>
      <w:r>
        <w:t xml:space="preserve"> </w:t>
      </w:r>
      <w:r>
        <w:t xml:space="preserve">Equinix's Q1 results excluded a large xScale lease (Hampton) that had been expected to close in Q1; the company noted it was nearing execution on expanded, mutually beneficial terms, and that adjusting for the timing of Hampton, Q1 revenue, AFFO and AFFO per share were all ahead of expectations. Management explicitly moved this into the Q2 guide: guidance for Q1 2026 had included expanded terms worth approximately $80 million of revenue, $65 million of AFFO and $0.65 of AFFO per share, and the expanded economics are now included in guidance for Q2, with no impact to the full-year outlook since the economics were already incorporated.</w:t>
      </w:r>
      <w:r>
        <w:t xml:space="preserve"> </w:t>
      </w:r>
      <w:r>
        <w:rPr>
          <w:b/>
          <w:bCs/>
        </w:rPr>
        <w:t xml:space="preserve">Investors should expect Q2 revenue/AFFO to look like a big sequential jump — this is largely a timing shift, not organic acceleration, and the market will be watching whether Hampton actually closed as expected.</w:t>
      </w:r>
    </w:p>
    <w:bookmarkEnd w:id="10"/>
    <w:bookmarkStart w:id="11" w:name="q2-2026-guidance-to-beat"/>
    <w:p>
      <w:pPr>
        <w:pStyle w:val="Heading2"/>
      </w:pPr>
      <w:r>
        <w:t xml:space="preserve">Q2 2026 Guidance to Beat</w:t>
      </w:r>
    </w:p>
    <w:p>
      <w:pPr>
        <w:pStyle w:val="FirstParagraph"/>
      </w:pPr>
      <w:r>
        <w:t xml:space="preserve">From the Q1 release, Equinix guided Q2 2026 to:</w:t>
      </w:r>
    </w:p>
    <w:p>
      <w:pPr>
        <w:pStyle w:val="Compact"/>
        <w:numPr>
          <w:ilvl w:val="0"/>
          <w:numId w:val="1002"/>
        </w:numPr>
      </w:pPr>
      <w:r>
        <w:t xml:space="preserve">Revenue:</w:t>
      </w:r>
      <w:r>
        <w:t xml:space="preserve"> </w:t>
      </w:r>
      <m:oMath>
        <m:r>
          <m:t>2.571</m:t>
        </m:r>
        <m:r>
          <m:rPr>
            <m:sty m:val="p"/>
          </m:rPr>
          <m:t>–</m:t>
        </m:r>
      </m:oMath>
      <w:r>
        <w:rPr>
          <w:b/>
          <w:bCs/>
        </w:rPr>
        <w:t xml:space="preserve">2.611 billion</w:t>
      </w:r>
    </w:p>
    <w:p>
      <w:pPr>
        <w:pStyle w:val="Compact"/>
        <w:numPr>
          <w:ilvl w:val="0"/>
          <w:numId w:val="1002"/>
        </w:numPr>
      </w:pPr>
      <w:r>
        <w:t xml:space="preserve">Adjusted EBITDA:</w:t>
      </w:r>
      <w:r>
        <w:t xml:space="preserve"> </w:t>
      </w:r>
      <m:oMath>
        <m:r>
          <m:t>1.349</m:t>
        </m:r>
        <m:r>
          <m:rPr>
            <m:sty m:val="p"/>
          </m:rPr>
          <m:t>–</m:t>
        </m:r>
      </m:oMath>
      <w:r>
        <w:rPr>
          <w:b/>
          <w:bCs/>
        </w:rPr>
        <w:t xml:space="preserve">1.389 billion</w:t>
      </w:r>
      <w:r>
        <w:t xml:space="preserve"> </w:t>
      </w:r>
      <w:r>
        <w:t xml:space="preserve">(52–53% margin)</w:t>
      </w:r>
    </w:p>
    <w:p>
      <w:pPr>
        <w:pStyle w:val="Compact"/>
        <w:numPr>
          <w:ilvl w:val="0"/>
          <w:numId w:val="1002"/>
        </w:numPr>
      </w:pPr>
      <w:r>
        <w:t xml:space="preserve">MRR growth:</w:t>
      </w:r>
      <w:r>
        <w:t xml:space="preserve"> </w:t>
      </w:r>
      <w:r>
        <w:rPr>
          <w:b/>
          <w:bCs/>
        </w:rPr>
        <w:t xml:space="preserve">10–11% year-over-year</w:t>
      </w:r>
    </w:p>
    <w:p>
      <w:pPr>
        <w:pStyle w:val="Compact"/>
        <w:numPr>
          <w:ilvl w:val="0"/>
          <w:numId w:val="1002"/>
        </w:numPr>
      </w:pPr>
      <w:r>
        <w:t xml:space="preserve">Recurring capex:</w:t>
      </w:r>
      <w:r>
        <w:t xml:space="preserve"> </w:t>
      </w:r>
      <m:oMath>
        <m:r>
          <m:t>46</m:t>
        </m:r>
        <m:r>
          <m:rPr>
            <m:sty m:val="p"/>
          </m:rPr>
          <m:t>–</m:t>
        </m:r>
      </m:oMath>
      <w:r>
        <w:rPr>
          <w:b/>
          <w:bCs/>
        </w:rPr>
        <w:t xml:space="preserve">66 million</w:t>
      </w:r>
    </w:p>
    <w:p>
      <w:pPr>
        <w:pStyle w:val="FirstParagraph"/>
      </w:pPr>
      <w:r>
        <w:t xml:space="preserve">Full-year 2026 guidance (raised in Q1) calls for revenue of</w:t>
      </w:r>
      <w:r>
        <w:t xml:space="preserve"> </w:t>
      </w:r>
      <m:oMath>
        <m:r>
          <m:t>10.144</m:t>
        </m:r>
        <m:r>
          <m:rPr>
            <m:sty m:val="p"/>
          </m:rPr>
          <m:t>–</m:t>
        </m:r>
      </m:oMath>
      <w:r>
        <w:t xml:space="preserve">10.244 billion (10–11% growth), adjusted EBITDA margin of ~51%, AFFO of</w:t>
      </w:r>
      <w:r>
        <w:t xml:space="preserve"> </w:t>
      </w:r>
      <m:oMath>
        <m:r>
          <m:t>4.198</m:t>
        </m:r>
        <m:r>
          <m:rPr>
            <m:sty m:val="p"/>
          </m:rPr>
          <m:t>–</m:t>
        </m:r>
      </m:oMath>
      <w:r>
        <w:t xml:space="preserve">4.278 billion (10–12% normalized growth), and AFFO/share growth of 9–11%. Full-year capex was raised to the top end of the prior range at **~</w:t>
      </w:r>
      <m:oMath>
        <m:r>
          <m:t>4.1</m:t>
        </m:r>
        <m:r>
          <m:t>b</m:t>
        </m:r>
        <m:r>
          <m:t>i</m:t>
        </m:r>
        <m:r>
          <m:t>l</m:t>
        </m:r>
        <m:r>
          <m:t>l</m:t>
        </m:r>
        <m:r>
          <m:t>i</m:t>
        </m:r>
        <m:r>
          <m:t>o</m:t>
        </m:r>
        <m:r>
          <m:t>n</m:t>
        </m:r>
        <m:r>
          <m:rPr>
            <m:sty m:val="p"/>
          </m:rPr>
          <m:t>*</m:t>
        </m:r>
        <m:r>
          <m:rPr>
            <m:sty m:val="p"/>
          </m:rPr>
          <m:t>*</m:t>
        </m:r>
        <m:r>
          <m:rPr>
            <m:sty m:val="p"/>
          </m:rPr>
          <m:t>,</m:t>
        </m:r>
        <m:r>
          <m:t>i</m:t>
        </m:r>
        <m:r>
          <m:t>n</m:t>
        </m:r>
        <m:r>
          <m:t>c</m:t>
        </m:r>
        <m:r>
          <m:t>l</m:t>
        </m:r>
        <m:r>
          <m:t>u</m:t>
        </m:r>
        <m:r>
          <m:t>d</m:t>
        </m:r>
        <m:r>
          <m:t>i</m:t>
        </m:r>
        <m:r>
          <m:t>n</m:t>
        </m:r>
        <m:r>
          <m:t>g</m:t>
        </m:r>
        <m:r>
          <m:t> </m:t>
        </m:r>
      </m:oMath>
      <w:r>
        <w:t xml:space="preserve">3.8 billion of non-recurring/growth capex.</w:t>
      </w:r>
    </w:p>
    <w:bookmarkEnd w:id="11"/>
    <w:bookmarkStart w:id="12" w:name="key-themes-to-watch"/>
    <w:p>
      <w:pPr>
        <w:pStyle w:val="Heading2"/>
      </w:pPr>
      <w:r>
        <w:t xml:space="preserve">Key Themes to Watch</w:t>
      </w:r>
    </w:p>
    <w:p>
      <w:pPr>
        <w:pStyle w:val="FirstParagraph"/>
      </w:pPr>
      <w:r>
        <w:rPr>
          <w:b/>
          <w:bCs/>
        </w:rPr>
        <w:t xml:space="preserve">1. AI demand durability and the "inferencing" narrative.</w:t>
      </w:r>
      <w:r>
        <w:t xml:space="preserve"> </w:t>
      </w:r>
      <w:r>
        <w:t xml:space="preserve">Management has been vocal that customer conversations have shifted from AI piloting to enterprise-wide, agentic deployment, with inference growing from experimental workloads into an engine of real-time business decision-making, and agentic AI moving from demos into distributed deployments. Concretely, eight of the top 10 AI model providers and four of the top five neoclouds were actively expanding with Equinix, having placed more than 110 separate network nodes to support mission-critical, latency-sensitive infrastructure, and roughly 60% of the largest deals in Q1 were AI-related, with large capacity fabric connections tripling year-over-year. Given the recent AI-capex jitters hitting chip and hyperscaler-adjacent names, investors will scrutinize whether this AI-driven bookings mix held up in Q2 or showed any signs of digestion.</w:t>
      </w:r>
    </w:p>
    <w:p>
      <w:pPr>
        <w:pStyle w:val="BodyText"/>
      </w:pPr>
      <w:r>
        <w:rPr>
          <w:b/>
          <w:bCs/>
        </w:rPr>
        <w:t xml:space="preserve">2. Interconnection/Fabric momentum.</w:t>
      </w:r>
      <w:r>
        <w:t xml:space="preserve"> </w:t>
      </w:r>
      <w:r>
        <w:t xml:space="preserve">This has been a standout growth engine: total interconnection revenue was up 9% year-over-year in Q1, boosted by fabric revenue growth of 26%, with fabric bookings up 70% year-over-year. New products like Fabric Intelligence and the Distributed AI Hub are aimed at extending this edge — watch for updated interconnection/fabric growth rates and any commentary on whether this becomes a larger share of the revenue mix going forward.</w:t>
      </w:r>
    </w:p>
    <w:p>
      <w:pPr>
        <w:pStyle w:val="BodyText"/>
      </w:pPr>
      <w:r>
        <w:rPr>
          <w:b/>
          <w:bCs/>
        </w:rPr>
        <w:t xml:space="preserve">3. Bookings, backlog, and pricing power.</w:t>
      </w:r>
      <w:r>
        <w:t xml:space="preserve"> </w:t>
      </w:r>
      <w:r>
        <w:t xml:space="preserve">Q1 delivered annualized gross bookings of $378 million, up 9% year-over-year, plus approximately $140 million of preselling activity — 35% growth in total sales activity — with over 3,800 transactions across more than 3,100 unique customers. Pricing remained firm, and approximately 25% of 2026 retail capacity expansion had already been pre-sold. MRR per cabinet rose to $2,524, up 7% year-over-year, reflecting density and pricing strength. Look for whether the record backlog continued converting to revenue and whether bookings re-accelerated sequentially after a seasonally softer Q1.</w:t>
      </w:r>
    </w:p>
    <w:p>
      <w:pPr>
        <w:pStyle w:val="BodyText"/>
      </w:pPr>
      <w:r>
        <w:rPr>
          <w:b/>
          <w:bCs/>
        </w:rPr>
        <w:t xml:space="preserve">4. Churn.</w:t>
      </w:r>
      <w:r>
        <w:t xml:space="preserve"> </w:t>
      </w:r>
      <w:r>
        <w:t xml:space="preserve">Churn came in unusually low at 1.7% in Q1 (below the 2–2.5% guided range), partly due to delayed churn timing; management explicitly guided to stay within the 2–2.5% range for the year rather than "call victory too early." Q2 churn will be an important read on whether that was one-off or a genuine trend improvement.</w:t>
      </w:r>
    </w:p>
    <w:p>
      <w:pPr>
        <w:pStyle w:val="BodyText"/>
      </w:pPr>
      <w:r>
        <w:rPr>
          <w:b/>
          <w:bCs/>
        </w:rPr>
        <w:t xml:space="preserve">5. Capacity build-out, capex intensity, and returns.</w:t>
      </w:r>
      <w:r>
        <w:t xml:space="preserve"> </w:t>
      </w:r>
      <w:r>
        <w:t xml:space="preserve">Equinix has 46 major projects underway across 32 markets, including 6 xScale projects, with more than 70% of retail expansion capex in major metros, and holds 3 gigawatts of land under control or in development. Capex is running at the top end of prior guidance (~$4.1 billion for the year), and management reiterated confidence in</w:t>
      </w:r>
      <w:r>
        <w:t xml:space="preserve"> </w:t>
      </w:r>
      <w:r>
        <w:rPr>
          <w:b/>
          <w:bCs/>
        </w:rPr>
        <w:t xml:space="preserve">mid-20% unlevered cash-on-cash returns</w:t>
      </w:r>
      <w:r>
        <w:t xml:space="preserve"> </w:t>
      </w:r>
      <w:r>
        <w:t xml:space="preserve">even as data-center density increases for AI workloads. Given the macro debate around AI infrastructure overbuild, any change in return assumptions, project timelines, or power-availability constraints (previously flagged as the binding constraint on densification) would be a key signal.</w:t>
      </w:r>
    </w:p>
    <w:p>
      <w:pPr>
        <w:pStyle w:val="BodyText"/>
      </w:pPr>
      <w:r>
        <w:rPr>
          <w:b/>
          <w:bCs/>
        </w:rPr>
        <w:t xml:space="preserve">6. atNorth acquisition and portfolio moves.</w:t>
      </w:r>
      <w:r>
        <w:t xml:space="preserve"> </w:t>
      </w:r>
      <w:r>
        <w:t xml:space="preserve">The pending deal with Canada Pension Plan Investment Board to acquire atNorth — giving access to an installed and active development pipeline of approximately 800 megawatts over the next five years, expected to be immediately accretive to AFFO per share upon closing — is still subject to closing conditions; an update on timing/regulatory progress would be useful.</w:t>
      </w:r>
    </w:p>
    <w:p>
      <w:pPr>
        <w:pStyle w:val="BodyText"/>
      </w:pPr>
      <w:r>
        <w:rPr>
          <w:b/>
          <w:bCs/>
        </w:rPr>
        <w:t xml:space="preserve">7. Leadership transition.</w:t>
      </w:r>
      <w:r>
        <w:t xml:space="preserve"> </w:t>
      </w:r>
      <w:r>
        <w:t xml:space="preserve">New CFO Olivier Leonetti (formerly of Eaton and Johnson Controls) joined in March and will be delivering his second quarterly print; his early commentary emphasized continuity on capital allocation (debt-funded growth, equity used opportunistically) and mid-20s% return discipline. Separately, Chief Business Officer Jon Lin announced his planned departure from the company effective July 18, 2026, with Equinix redistributing his responsibilities across existing senior leadership and signaling an upcoming new Chief Product Officer appointment. Investors should listen for continuity assurances on sales execution and go-to-market strategy given Lin's role overseeing business functions.</w:t>
      </w:r>
    </w:p>
    <w:p>
      <w:pPr>
        <w:pStyle w:val="BodyText"/>
      </w:pPr>
      <w:r>
        <w:rPr>
          <w:b/>
          <w:bCs/>
        </w:rPr>
        <w:t xml:space="preserve">8. Balance sheet and energy hedging.</w:t>
      </w:r>
      <w:r>
        <w:t xml:space="preserve"> </w:t>
      </w:r>
      <w:r>
        <w:t xml:space="preserve">Net leverage stood at 3.8x annualized adjusted EBITDA at Q1-end, with $3.1 billion of cash/short-term investments and a recent $1.5 billion senior notes issuance at a 3.1% blended rate. Management noted the company was more than 90% hedged on energy costs for 2026, which should limit any read-through risk from the volatile Middle East-driven energy backdrop.</w:t>
      </w:r>
    </w:p>
    <w:bookmarkEnd w:id="12"/>
    <w:bookmarkStart w:id="13" w:name="risks--watch-items-into-the-print"/>
    <w:p>
      <w:pPr>
        <w:pStyle w:val="Heading2"/>
      </w:pPr>
      <w:r>
        <w:t xml:space="preserve">Risks / Watch Items Into the Print</w:t>
      </w:r>
    </w:p>
    <w:p>
      <w:pPr>
        <w:pStyle w:val="Compact"/>
        <w:numPr>
          <w:ilvl w:val="0"/>
          <w:numId w:val="1003"/>
        </w:numPr>
      </w:pPr>
      <w:r>
        <w:rPr>
          <w:b/>
          <w:bCs/>
        </w:rPr>
        <w:t xml:space="preserve">Macro/AI-capex sentiment</w:t>
      </w:r>
      <w:r>
        <w:t xml:space="preserve">: Broader market anxiety about hyperscaler over-investment in AI infrastructure (echoed in recent Alphabet, SK Hynix, and chip-sector commentary) could pressure the stock regardless of fundamentals if Equinix's own AI-linked bookings show any deceleration.</w:t>
      </w:r>
    </w:p>
    <w:p>
      <w:pPr>
        <w:pStyle w:val="Compact"/>
        <w:numPr>
          <w:ilvl w:val="0"/>
          <w:numId w:val="1003"/>
        </w:numPr>
      </w:pPr>
      <w:r>
        <w:rPr>
          <w:b/>
          <w:bCs/>
        </w:rPr>
        <w:t xml:space="preserve">Hampton xScale lease execution</w:t>
      </w:r>
      <w:r>
        <w:t xml:space="preserve">: Confirmation that the deal actually closed on the expanded terms embedded in Q2 guidance is important; any further delay would be a modeling complication (though management says full-year economics are unaffected).</w:t>
      </w:r>
    </w:p>
    <w:p>
      <w:pPr>
        <w:pStyle w:val="Compact"/>
        <w:numPr>
          <w:ilvl w:val="0"/>
          <w:numId w:val="1003"/>
        </w:numPr>
      </w:pPr>
      <w:r>
        <w:rPr>
          <w:b/>
          <w:bCs/>
        </w:rPr>
        <w:t xml:space="preserve">Manuka and future xScale pipeline</w:t>
      </w:r>
      <w:r>
        <w:t xml:space="preserve">: Analysts have asked about additional large xScale pre-leasing (e.g., a rumored Manuka campus); an update on pipeline conversion timing matters for future lumpy non-recurring revenue.</w:t>
      </w:r>
    </w:p>
    <w:p>
      <w:pPr>
        <w:pStyle w:val="Compact"/>
        <w:numPr>
          <w:ilvl w:val="0"/>
          <w:numId w:val="1003"/>
        </w:numPr>
      </w:pPr>
      <w:r>
        <w:rPr>
          <w:b/>
          <w:bCs/>
        </w:rPr>
        <w:t xml:space="preserve">Leadership continuity</w:t>
      </w:r>
      <w:r>
        <w:t xml:space="preserve">: With a new CFO and a CBO departure both within months of each other, watch for any signs of organizational disruption to sales execution.</w:t>
      </w:r>
    </w:p>
    <w:p>
      <w:pPr>
        <w:pStyle w:val="Compact"/>
        <w:numPr>
          <w:ilvl w:val="0"/>
          <w:numId w:val="1003"/>
        </w:numPr>
      </w:pPr>
      <w:r>
        <w:rPr>
          <w:b/>
          <w:bCs/>
        </w:rPr>
        <w:t xml:space="preserve">Valuation</w:t>
      </w:r>
      <w:r>
        <w:t xml:space="preserve">: With shares roughly 35% above January lows before the recent pullback, expectations are high; a "good quarter, cautious guide" outcome given tightening credit/capital costs for AI-related buildouts across the sector could still disappoint if it doesn't clear the bar set by Q1's raised guidance.</w:t>
      </w:r>
    </w:p>
    <w:bookmarkEnd w:id="13"/>
    <w:bookmarkStart w:id="14" w:name="bottom-line"/>
    <w:p>
      <w:pPr>
        <w:pStyle w:val="Heading2"/>
      </w:pPr>
      <w:r>
        <w:t xml:space="preserve">Bottom Line</w:t>
      </w:r>
    </w:p>
    <w:p>
      <w:pPr>
        <w:pStyle w:val="FirstParagraph"/>
      </w:pPr>
      <w:r>
        <w:t xml:space="preserve">Equinix goes into Q2 with strong underlying momentum — double-digit recurring revenue growth, record bookings/backlog, expanding margins, and a clear AI-inferencing tailwind supporting interconnection and colocation demand. The print itself will look unusually strong on a headline basis due to the Hampton xScale lease shifting into Q2, so investors should focus on organic MRR growth (guided 10–11%), churn trends, bookings velocity, and any commentary reconciling Equinix's AI demand story with the broader market's growing skepticism about AI infrastructure spending sustainability.</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2026-07-29T01:42:29Z</dcterms:created>
  <dcterms:modified xsi:type="dcterms:W3CDTF">2026-07-29T01:42:29Z</dcterms:modified>
</cp:coreProperties>
</file>

<file path=docProps/custom.xml><?xml version="1.0" encoding="utf-8"?>
<Properties xmlns="http://schemas.openxmlformats.org/officeDocument/2006/custom-properties" xmlns:vt="http://schemas.openxmlformats.org/officeDocument/2006/docPropsVTypes"/>
</file>