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ix-earnings-predictions--2026-07-29"/>
    <w:p>
      <w:pPr>
        <w:pStyle w:val="Heading1"/>
      </w:pPr>
      <w:r>
        <w:t xml:space="preserve">EQIX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~$2.620B vs. cons $2.590B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~$1.392B vs. cons $1.369B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~$11.40 vs. cons $11.25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~$2.570B vs. cons $2.582B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~$10.240B vs. cons $10.239B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~$5.240B vs. cons $5.230B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 per diluted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~$43.05 vs. cons $43.05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The Q2 AFFO/share beat of ~$11.40 vs.</w:t>
            </w:r>
            <w:r>
              <w:t xml:space="preserve"> </w:t>
            </w:r>
            <m:oMath>
              <m:r>
                <m:t>11.25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H</m:t>
              </m:r>
              <m:r>
                <m:t>a</m:t>
              </m:r>
              <m:r>
                <m:t>m</m:t>
              </m:r>
              <m:r>
                <m:t>p</m:t>
              </m:r>
              <m:r>
                <m:t>t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e</m:t>
              </m:r>
              <m:r>
                <m:t>a</m:t>
              </m:r>
              <m:r>
                <m:t>v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43.05 vs.</w:t>
            </w:r>
            <w:r>
              <w:t xml:space="preserve"> </w:t>
            </w:r>
            <m:oMath>
              <m:r>
                <m:t>43.05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20.86 for 2H26 versus the prior Street-implied ~</w:t>
            </w:r>
            <m:oMath>
              <m:r>
                <m:t>21.01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c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 </m:t>
              </m:r>
            </m:oMath>
            <w:r>
              <w:t xml:space="preserve">2.570B Q3 revenue guide versus $2.582B consensus, and elevated valuation should drive negative estimate revisions after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2026-07-29T01:42:58Z</dcterms:created>
  <dcterms:modified xsi:type="dcterms:W3CDTF">2026-07-29T01:42:58Z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