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9fd3b09d13883d2a3124b2530f4e756838b063"/>
    <w:p>
      <w:pPr>
        <w:pStyle w:val="Heading1"/>
      </w:pPr>
      <w:r>
        <w:t xml:space="preserve">Equinix (NASDAQ: EQIX) — 2Q26 Earnings Preview</w:t>
      </w:r>
    </w:p>
    <w:p>
      <w:pPr>
        <w:pStyle w:val="BlockText"/>
      </w:pPr>
      <w:r>
        <w:rPr>
          <w:b/>
          <w:bCs/>
        </w:rPr>
        <w:t xml:space="preserve">Timing note:</w:t>
      </w:r>
      <w:r>
        <w:t xml:space="preserve"> </w:t>
      </w:r>
      <w:r>
        <w:t xml:space="preserve">Equinix is scheduled to report</w:t>
      </w:r>
      <w:r>
        <w:t xml:space="preserve"> </w:t>
      </w:r>
      <w:r>
        <w:rPr>
          <w:b/>
          <w:bCs/>
        </w:rPr>
        <w:t xml:space="preserve">second-quarter 2026 results today, Wednesday, July 29, 2026</w:t>
      </w:r>
      <w:r>
        <w:t xml:space="preserve">, with its conference call at</w:t>
      </w:r>
      <w:r>
        <w:t xml:space="preserve"> </w:t>
      </w:r>
      <w:r>
        <w:rPr>
          <w:b/>
          <w:bCs/>
        </w:rPr>
        <w:t xml:space="preserve">5:30 p.m. ET</w:t>
      </w:r>
      <w:r>
        <w:t xml:space="preserve">. The report is therefore not tomorrow.</w:t>
      </w:r>
    </w:p>
    <w:bookmarkStart w:id="9" w:name="investment-framing"/>
    <w:p>
      <w:pPr>
        <w:pStyle w:val="Heading2"/>
      </w:pPr>
      <w:r>
        <w:t xml:space="preserve">Investment framing</w:t>
      </w:r>
    </w:p>
    <w:p>
      <w:pPr>
        <w:pStyle w:val="FirstParagraph"/>
      </w:pPr>
      <w:r>
        <w:t xml:space="preserve">Equinix enters 2Q with operating momentum, an elevated bar, and an unusually important mix issue. The core story remains constructive: retail colocation demand is broad, interconnection is accelerating, AI-related activity is increasingly visible, and management has demonstrated operating leverage. However, the quarter’s reported revenue will also include a delayed, large</w:t>
      </w:r>
      <w:r>
        <w:t xml:space="preserve"> </w:t>
      </w:r>
      <w:r>
        <w:rPr>
          <w:b/>
          <w:bCs/>
        </w:rPr>
        <w:t xml:space="preserve">Hampton xScale lease transaction</w:t>
      </w:r>
      <w:r>
        <w:t xml:space="preserve">, which was originally expected in 1Q. Investors should separate that timing-driven contribution from the underlying retail and recurring-revenue trajectory.</w:t>
      </w:r>
    </w:p>
    <w:p>
      <w:pPr>
        <w:pStyle w:val="BodyText"/>
      </w:pPr>
      <w:r>
        <w:t xml:space="preserve">The central question is not simply whether EQIX meets its quarterly ranges. It is whether the company can reinforce three claims underlying the premium growth outlook:</w:t>
      </w:r>
    </w:p>
    <w:p>
      <w:pPr>
        <w:pStyle w:val="Compact"/>
        <w:numPr>
          <w:ilvl w:val="0"/>
          <w:numId w:val="1001"/>
        </w:numPr>
      </w:pPr>
      <w:r>
        <w:rPr>
          <w:b/>
          <w:bCs/>
        </w:rPr>
        <w:t xml:space="preserve">Recurring revenue can sustain double-digit normalized constant-currency growth.</w:t>
      </w:r>
    </w:p>
    <w:p>
      <w:pPr>
        <w:pStyle w:val="Compact"/>
        <w:numPr>
          <w:ilvl w:val="0"/>
          <w:numId w:val="1001"/>
        </w:numPr>
      </w:pPr>
      <w:r>
        <w:rPr>
          <w:b/>
          <w:bCs/>
        </w:rPr>
        <w:t xml:space="preserve">AI and interconnection demand are translating into durable bookings, presales, utilization and pricing—not just customer anecdotes.</w:t>
      </w:r>
    </w:p>
    <w:p>
      <w:pPr>
        <w:pStyle w:val="Compact"/>
        <w:numPr>
          <w:ilvl w:val="0"/>
          <w:numId w:val="1001"/>
        </w:numPr>
      </w:pPr>
      <w:r>
        <w:rPr>
          <w:b/>
          <w:bCs/>
        </w:rPr>
        <w:t xml:space="preserve">The company can scale a roughly $4.1 billion annual capital program while preserving mid-20% cash-on-cash returns, reasonable leverage, and AFFO-per-share growth.</w:t>
      </w:r>
    </w:p>
    <w:bookmarkEnd w:id="9"/>
    <w:bookmarkStart w:id="10" w:name="what-management-guided-for"/>
    <w:p>
      <w:pPr>
        <w:pStyle w:val="Heading2"/>
      </w:pPr>
      <w:r>
        <w:t xml:space="preserve">What management guided for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2Q26 guide</w:t>
            </w:r>
          </w:p>
        </w:tc>
        <w:tc>
          <w:tcPr/>
          <w:p>
            <w:pPr>
              <w:pStyle w:val="Compact"/>
              <w:jc w:val="right"/>
            </w:pPr>
            <w:r>
              <w:t xml:space="preserve">Midpoint</w:t>
            </w:r>
          </w:p>
        </w:tc>
        <w:tc>
          <w:tcPr/>
          <w:p>
            <w:pPr>
              <w:pStyle w:val="Compact"/>
              <w:jc w:val="right"/>
            </w:pPr>
            <w:r>
              <w:t xml:space="preserve">2Q25 actual</w:t>
            </w:r>
          </w:p>
        </w:tc>
        <w:tc>
          <w:tcPr/>
          <w:p>
            <w:pPr>
              <w:pStyle w:val="Compact"/>
              <w:jc w:val="right"/>
            </w:pPr>
            <w:r>
              <w:t xml:space="preserve">Midpoint YoY growth</w:t>
            </w:r>
          </w:p>
        </w:tc>
      </w:tr>
      <w:tr>
        <w:tc>
          <w:tcPr/>
          <w:p>
            <w:pPr>
              <w:pStyle w:val="Compact"/>
            </w:pPr>
            <w:r>
              <w:t xml:space="preserve">Revenue</w:t>
            </w:r>
          </w:p>
        </w:tc>
        <w:tc>
          <w:tcPr/>
          <w:p>
            <w:pPr>
              <w:pStyle w:val="Compact"/>
              <w:jc w:val="right"/>
            </w:pPr>
            <m:oMath>
              <m:r>
                <m:t>2.571</m:t>
              </m:r>
              <m:r>
                <m:t>B</m:t>
              </m:r>
              <m:r>
                <m:rPr>
                  <m:sty m:val="p"/>
                </m:rPr>
                <m:t>–</m:t>
              </m:r>
            </m:oMath>
            <w:r>
              <w:t xml:space="preserve">2.611B</w:t>
            </w:r>
          </w:p>
        </w:tc>
        <w:tc>
          <w:tcPr/>
          <w:p>
            <w:pPr>
              <w:pStyle w:val="Compact"/>
              <w:jc w:val="right"/>
            </w:pPr>
            <w:r>
              <w:rPr>
                <w:b/>
                <w:bCs/>
              </w:rPr>
              <w:t xml:space="preserve">$2.591B</w:t>
            </w:r>
          </w:p>
        </w:tc>
        <w:tc>
          <w:tcPr/>
          <w:p>
            <w:pPr>
              <w:pStyle w:val="Compact"/>
              <w:jc w:val="right"/>
            </w:pPr>
            <w:r>
              <w:t xml:space="preserve">$2.256B</w:t>
            </w:r>
          </w:p>
        </w:tc>
        <w:tc>
          <w:tcPr/>
          <w:p>
            <w:pPr>
              <w:pStyle w:val="Compact"/>
              <w:jc w:val="right"/>
            </w:pPr>
            <w:r>
              <w:rPr>
                <w:b/>
                <w:bCs/>
              </w:rPr>
              <w:t xml:space="preserve">+14.8%</w:t>
            </w:r>
          </w:p>
        </w:tc>
      </w:tr>
      <w:tr>
        <w:tc>
          <w:tcPr/>
          <w:p>
            <w:pPr>
              <w:pStyle w:val="Compact"/>
            </w:pPr>
            <w:r>
              <w:t xml:space="preserve">Adjusted EBITDA</w:t>
            </w:r>
          </w:p>
        </w:tc>
        <w:tc>
          <w:tcPr/>
          <w:p>
            <w:pPr>
              <w:pStyle w:val="Compact"/>
              <w:jc w:val="right"/>
            </w:pPr>
            <m:oMath>
              <m:r>
                <m:t>1.349</m:t>
              </m:r>
              <m:r>
                <m:t>B</m:t>
              </m:r>
              <m:r>
                <m:rPr>
                  <m:sty m:val="p"/>
                </m:rPr>
                <m:t>–</m:t>
              </m:r>
            </m:oMath>
            <w:r>
              <w:t xml:space="preserve">1.389B</w:t>
            </w:r>
          </w:p>
        </w:tc>
        <w:tc>
          <w:tcPr/>
          <w:p>
            <w:pPr>
              <w:pStyle w:val="Compact"/>
              <w:jc w:val="right"/>
            </w:pPr>
            <w:r>
              <w:rPr>
                <w:b/>
                <w:bCs/>
              </w:rPr>
              <w:t xml:space="preserve">$1.369B</w:t>
            </w:r>
          </w:p>
        </w:tc>
        <w:tc>
          <w:tcPr/>
          <w:p>
            <w:pPr>
              <w:pStyle w:val="Compact"/>
              <w:jc w:val="right"/>
            </w:pPr>
            <w:r>
              <w:t xml:space="preserve">$1.129B</w:t>
            </w:r>
          </w:p>
        </w:tc>
        <w:tc>
          <w:tcPr/>
          <w:p>
            <w:pPr>
              <w:pStyle w:val="Compact"/>
              <w:jc w:val="right"/>
            </w:pPr>
            <w:r>
              <w:rPr>
                <w:b/>
                <w:bCs/>
              </w:rPr>
              <w:t xml:space="preserve">+21.3%</w:t>
            </w:r>
          </w:p>
        </w:tc>
      </w:tr>
      <w:tr>
        <w:tc>
          <w:tcPr/>
          <w:p>
            <w:pPr>
              <w:pStyle w:val="Compact"/>
            </w:pPr>
            <w:r>
              <w:t xml:space="preserve">Adjusted EBITDA margin</w:t>
            </w:r>
          </w:p>
        </w:tc>
        <w:tc>
          <w:tcPr/>
          <w:p>
            <w:pPr>
              <w:pStyle w:val="Compact"/>
              <w:jc w:val="right"/>
            </w:pPr>
            <w:r>
              <w:t xml:space="preserve">52%–53%</w:t>
            </w:r>
          </w:p>
        </w:tc>
        <w:tc>
          <w:tcPr/>
          <w:p>
            <w:pPr>
              <w:pStyle w:val="Compact"/>
              <w:jc w:val="right"/>
            </w:pPr>
            <w:r>
              <w:rPr>
                <w:b/>
                <w:bCs/>
              </w:rPr>
              <w:t xml:space="preserve">52.8%</w:t>
            </w:r>
          </w:p>
        </w:tc>
        <w:tc>
          <w:tcPr/>
          <w:p>
            <w:pPr>
              <w:pStyle w:val="Compact"/>
              <w:jc w:val="right"/>
            </w:pPr>
            <w:r>
              <w:t xml:space="preserve">50.0%</w:t>
            </w:r>
          </w:p>
        </w:tc>
        <w:tc>
          <w:tcPr/>
          <w:p>
            <w:pPr>
              <w:pStyle w:val="Compact"/>
              <w:jc w:val="right"/>
            </w:pPr>
            <w:r>
              <w:rPr>
                <w:b/>
                <w:bCs/>
              </w:rPr>
              <w:t xml:space="preserve">+280 bps</w:t>
            </w:r>
          </w:p>
        </w:tc>
      </w:tr>
      <w:tr>
        <w:tc>
          <w:tcPr/>
          <w:p>
            <w:pPr>
              <w:pStyle w:val="Compact"/>
            </w:pPr>
            <w:r>
              <w:t xml:space="preserve">Recurring capex</w:t>
            </w:r>
          </w:p>
        </w:tc>
        <w:tc>
          <w:tcPr/>
          <w:p>
            <w:pPr>
              <w:pStyle w:val="Compact"/>
              <w:jc w:val="right"/>
            </w:pPr>
            <m:oMath>
              <m:r>
                <m:t>46</m:t>
              </m:r>
              <m:r>
                <m:t>M</m:t>
              </m:r>
              <m:r>
                <m:rPr>
                  <m:sty m:val="p"/>
                </m:rPr>
                <m:t>–</m:t>
              </m:r>
            </m:oMath>
            <w:r>
              <w:t xml:space="preserve">66M</w:t>
            </w:r>
          </w:p>
        </w:tc>
        <w:tc>
          <w:tcPr/>
          <w:p>
            <w:pPr>
              <w:pStyle w:val="Compact"/>
              <w:jc w:val="right"/>
            </w:pPr>
            <w:r>
              <w:rPr>
                <w:b/>
                <w:bCs/>
              </w:rPr>
              <w:t xml:space="preserve">$56M</w:t>
            </w:r>
          </w:p>
        </w:tc>
        <w:tc>
          <w:tcPr/>
          <w:p>
            <w:pPr>
              <w:pStyle w:val="Compact"/>
              <w:jc w:val="right"/>
            </w:pPr>
            <w:r>
              <w:t xml:space="preserve">$55M</w:t>
            </w:r>
          </w:p>
        </w:tc>
        <w:tc>
          <w:tcPr/>
          <w:p>
            <w:pPr>
              <w:pStyle w:val="Compact"/>
              <w:jc w:val="right"/>
            </w:pPr>
            <w:r>
              <w:t xml:space="preserve">Roughly flat</w:t>
            </w:r>
          </w:p>
        </w:tc>
      </w:tr>
    </w:tbl>
    <w:p>
      <w:pPr>
        <w:pStyle w:val="BodyText"/>
      </w:pPr>
      <w:r>
        <w:t xml:space="preserve">The 2Q outlook embeds a</w:t>
      </w:r>
      <w:r>
        <w:t xml:space="preserve"> </w:t>
      </w:r>
      <m:oMath>
        <m:r>
          <m:t>6</m:t>
        </m:r>
        <m:r>
          <m:t>m</m:t>
        </m:r>
        <m:r>
          <m:t>i</m:t>
        </m:r>
        <m:r>
          <m:t>l</m:t>
        </m:r>
        <m:r>
          <m:t>l</m:t>
        </m:r>
        <m:r>
          <m:t>i</m:t>
        </m:r>
        <m:r>
          <m:t>o</m:t>
        </m:r>
        <m:r>
          <m:t>n</m:t>
        </m:r>
        <m:r>
          <m:t>F</m:t>
        </m:r>
        <m:r>
          <m:t>X</m:t>
        </m:r>
        <m:r>
          <m:t>b</m:t>
        </m:r>
        <m:r>
          <m:t>e</m:t>
        </m:r>
        <m:r>
          <m:t>n</m:t>
        </m:r>
        <m:r>
          <m:t>e</m:t>
        </m:r>
        <m:r>
          <m:t>f</m:t>
        </m:r>
        <m:r>
          <m:t>i</m:t>
        </m:r>
        <m:r>
          <m:t>t</m:t>
        </m:r>
        <m:r>
          <m:rPr>
            <m:sty m:val="p"/>
          </m:rPr>
          <m:t>*</m:t>
        </m:r>
        <m:r>
          <m:rPr>
            <m:sty m:val="p"/>
          </m:rPr>
          <m:t>*</m:t>
        </m:r>
        <m:r>
          <m:t>v</m:t>
        </m:r>
        <m:r>
          <m:t>e</m:t>
        </m:r>
        <m:r>
          <m:t>r</m:t>
        </m:r>
        <m:r>
          <m:t>s</m:t>
        </m:r>
        <m:r>
          <m:t>u</m:t>
        </m:r>
        <m:r>
          <m:t>s</m:t>
        </m:r>
        <m:r>
          <m:t>a</m:t>
        </m:r>
        <m:r>
          <m:t>v</m:t>
        </m:r>
        <m:r>
          <m:t>e</m:t>
        </m:r>
        <m:r>
          <m:t>r</m:t>
        </m:r>
        <m:r>
          <m:t>a</m:t>
        </m:r>
        <m:r>
          <m:t>g</m:t>
        </m:r>
        <m:r>
          <m:t>e</m:t>
        </m:r>
        <m:r>
          <m:t>1</m:t>
        </m:r>
        <m:r>
          <m:t>Q</m:t>
        </m:r>
        <m:r>
          <m:t>e</m:t>
        </m:r>
        <m:r>
          <m:t>x</m:t>
        </m:r>
        <m:r>
          <m:t>c</m:t>
        </m:r>
        <m:r>
          <m:t>h</m:t>
        </m:r>
        <m:r>
          <m:t>a</m:t>
        </m:r>
        <m:r>
          <m:t>n</m:t>
        </m:r>
        <m:r>
          <m:t>g</m:t>
        </m:r>
        <m:r>
          <m:t>e</m:t>
        </m:r>
        <m:r>
          <m:t>r</m:t>
        </m:r>
        <m:r>
          <m:t>a</m:t>
        </m:r>
        <m:r>
          <m:t>t</m:t>
        </m:r>
        <m:r>
          <m:t>e</m:t>
        </m:r>
        <m:r>
          <m:t>s</m:t>
        </m:r>
        <m:r>
          <m:rPr>
            <m:sty m:val="p"/>
          </m:rPr>
          <m:t>.</m:t>
        </m:r>
        <m:r>
          <m:t>M</m:t>
        </m:r>
        <m:r>
          <m:t>o</m:t>
        </m:r>
        <m:r>
          <m:t>r</m:t>
        </m:r>
        <m:r>
          <m:t>e</m:t>
        </m:r>
        <m:r>
          <m:t>s</m:t>
        </m:r>
        <m:r>
          <m:t>i</m:t>
        </m:r>
        <m:r>
          <m:t>g</m:t>
        </m:r>
        <m:r>
          <m:t>n</m:t>
        </m:r>
        <m:r>
          <m:t>i</m:t>
        </m:r>
        <m:r>
          <m:t>f</m:t>
        </m:r>
        <m:r>
          <m:t>i</m:t>
        </m:r>
        <m:r>
          <m:t>c</m:t>
        </m:r>
        <m:r>
          <m:t>a</m:t>
        </m:r>
        <m:r>
          <m:t>n</m:t>
        </m:r>
        <m:r>
          <m:t>t</m:t>
        </m:r>
        <m:r>
          <m:t>l</m:t>
        </m:r>
        <m:r>
          <m:t>y</m:t>
        </m:r>
        <m:r>
          <m:rPr>
            <m:sty m:val="p"/>
          </m:rPr>
          <m:t>,</m:t>
        </m:r>
        <m:r>
          <m:t>i</m:t>
        </m:r>
        <m:r>
          <m:t>t</m:t>
        </m:r>
        <m:r>
          <m:t>i</m:t>
        </m:r>
        <m:r>
          <m:t>n</m:t>
        </m:r>
        <m:r>
          <m:t>c</m:t>
        </m:r>
        <m:r>
          <m:t>l</m:t>
        </m:r>
        <m:r>
          <m:t>u</m:t>
        </m:r>
        <m:r>
          <m:t>d</m:t>
        </m:r>
        <m:r>
          <m:t>e</m:t>
        </m:r>
        <m:r>
          <m:t>s</m:t>
        </m:r>
        <m:r>
          <m:t>t</m:t>
        </m:r>
        <m:r>
          <m:t>h</m:t>
        </m:r>
        <m:r>
          <m:t>e</m:t>
        </m:r>
        <m:r>
          <m:t>e</m:t>
        </m:r>
        <m:r>
          <m:t>x</m:t>
        </m:r>
        <m:r>
          <m:t>p</m:t>
        </m:r>
        <m:r>
          <m:t>a</m:t>
        </m:r>
        <m:r>
          <m:t>n</m:t>
        </m:r>
        <m:r>
          <m:t>d</m:t>
        </m:r>
        <m:r>
          <m:t>e</m:t>
        </m:r>
        <m:r>
          <m:t>d</m:t>
        </m:r>
        <m:r>
          <m:t>e</m:t>
        </m:r>
        <m:r>
          <m:t>c</m:t>
        </m:r>
        <m:r>
          <m:t>o</m:t>
        </m:r>
        <m:r>
          <m:t>n</m:t>
        </m:r>
        <m:r>
          <m:t>o</m:t>
        </m:r>
        <m:r>
          <m:t>m</m:t>
        </m:r>
        <m:r>
          <m:t>i</m:t>
        </m:r>
        <m:r>
          <m:t>c</m:t>
        </m:r>
        <m:r>
          <m:t>s</m:t>
        </m:r>
        <m:r>
          <m:t>f</m:t>
        </m:r>
        <m:r>
          <m:t>r</m:t>
        </m:r>
        <m:r>
          <m:t>o</m:t>
        </m:r>
        <m:r>
          <m:t>m</m:t>
        </m:r>
        <m:r>
          <m:t>t</m:t>
        </m:r>
        <m:r>
          <m:t>h</m:t>
        </m:r>
        <m:r>
          <m:t>e</m:t>
        </m:r>
        <m:r>
          <m:rPr>
            <m:sty m:val="p"/>
          </m:rPr>
          <m:t>*</m:t>
        </m:r>
        <m:r>
          <m:rPr>
            <m:sty m:val="p"/>
          </m:rPr>
          <m:t>*</m:t>
        </m:r>
        <m:r>
          <m:t>H</m:t>
        </m:r>
        <m:r>
          <m:t>a</m:t>
        </m:r>
        <m:r>
          <m:t>m</m:t>
        </m:r>
        <m:r>
          <m:t>p</m:t>
        </m:r>
        <m:r>
          <m:t>t</m:t>
        </m:r>
        <m:r>
          <m:t>o</m:t>
        </m:r>
        <m:r>
          <m:t>n</m:t>
        </m:r>
        <m:r>
          <m:t>x</m:t>
        </m:r>
        <m:r>
          <m:t>S</m:t>
        </m:r>
        <m:r>
          <m:t>c</m:t>
        </m:r>
        <m:r>
          <m:t>a</m:t>
        </m:r>
        <m:r>
          <m:t>l</m:t>
        </m:r>
        <m:r>
          <m:t>e</m:t>
        </m:r>
        <m:r>
          <m:t>l</m:t>
        </m:r>
        <m:r>
          <m:t>e</m:t>
        </m:r>
        <m:r>
          <m:t>a</m:t>
        </m:r>
        <m:r>
          <m:t>s</m:t>
        </m:r>
        <m:r>
          <m:t>e</m:t>
        </m:r>
        <m:r>
          <m:rPr>
            <m:sty m:val="p"/>
          </m:rPr>
          <m:t>*</m:t>
        </m:r>
        <m:r>
          <m:rPr>
            <m:sty m:val="p"/>
          </m:rPr>
          <m:t>*</m:t>
        </m:r>
        <m:r>
          <m:rPr>
            <m:sty m:val="p"/>
          </m:rPr>
          <m:t>.</m:t>
        </m:r>
        <m:r>
          <m:t>M</m:t>
        </m:r>
        <m:r>
          <m:t>a</m:t>
        </m:r>
        <m:r>
          <m:t>n</m:t>
        </m:r>
        <m:r>
          <m:t>a</m:t>
        </m:r>
        <m:r>
          <m:t>g</m:t>
        </m:r>
        <m:r>
          <m:t>e</m:t>
        </m:r>
        <m:r>
          <m:t>m</m:t>
        </m:r>
        <m:r>
          <m:t>e</m:t>
        </m:r>
        <m:r>
          <m:t>n</m:t>
        </m:r>
        <m:r>
          <m:t>t</m:t>
        </m:r>
        <m:r>
          <m:t>p</m:t>
        </m:r>
        <m:r>
          <m:t>r</m:t>
        </m:r>
        <m:r>
          <m:t>e</m:t>
        </m:r>
        <m:r>
          <m:t>v</m:t>
        </m:r>
        <m:r>
          <m:t>i</m:t>
        </m:r>
        <m:r>
          <m:t>o</m:t>
        </m:r>
        <m:r>
          <m:t>u</m:t>
        </m:r>
        <m:r>
          <m:t>s</m:t>
        </m:r>
        <m:r>
          <m:t>l</m:t>
        </m:r>
        <m:r>
          <m:t>y</m:t>
        </m:r>
        <m:r>
          <m:t>i</m:t>
        </m:r>
        <m:r>
          <m:t>n</m:t>
        </m:r>
        <m:r>
          <m:t>d</m:t>
        </m:r>
        <m:r>
          <m:t>i</m:t>
        </m:r>
        <m:r>
          <m:t>c</m:t>
        </m:r>
        <m:r>
          <m:t>a</m:t>
        </m:r>
        <m:r>
          <m:t>t</m:t>
        </m:r>
        <m:r>
          <m:t>e</m:t>
        </m:r>
        <m:r>
          <m:t>d</m:t>
        </m:r>
        <m:r>
          <m:t>t</m:t>
        </m:r>
        <m:r>
          <m:t>h</m:t>
        </m:r>
        <m:r>
          <m:t>a</m:t>
        </m:r>
        <m:r>
          <m:t>t</m:t>
        </m:r>
        <m:r>
          <m:t>t</m:t>
        </m:r>
        <m:r>
          <m:t>h</m:t>
        </m:r>
        <m:r>
          <m:t>e</m:t>
        </m:r>
        <m:r>
          <m:t>t</m:t>
        </m:r>
        <m:r>
          <m:t>r</m:t>
        </m:r>
        <m:r>
          <m:t>a</m:t>
        </m:r>
        <m:r>
          <m:t>n</m:t>
        </m:r>
        <m:r>
          <m:t>s</m:t>
        </m:r>
        <m:r>
          <m:t>a</m:t>
        </m:r>
        <m:r>
          <m:t>c</m:t>
        </m:r>
        <m:r>
          <m:t>t</m:t>
        </m:r>
        <m:r>
          <m:t>i</m:t>
        </m:r>
        <m:r>
          <m:t>o</m:t>
        </m:r>
        <m:r>
          <m:t>n</m:t>
        </m:r>
        <m:r>
          <m:t>r</m:t>
        </m:r>
        <m:r>
          <m:t>e</m:t>
        </m:r>
        <m:r>
          <m:t>p</m:t>
        </m:r>
        <m:r>
          <m:t>r</m:t>
        </m:r>
        <m:r>
          <m:t>e</m:t>
        </m:r>
        <m:r>
          <m:t>s</m:t>
        </m:r>
        <m:r>
          <m:t>e</m:t>
        </m:r>
        <m:r>
          <m:t>n</m:t>
        </m:r>
        <m:r>
          <m:t>t</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80 million of revenue, $65 million of AFFO, and $0.65 of AFFO per share</w:t>
      </w:r>
      <w:r>
        <w:t xml:space="preserve">, with the timing shifting from 1Q into 2Q. The full-year outlook already included the transaction, so its recognition in 2Q should not, by itself, create a full-year guide increase.</w:t>
      </w:r>
    </w:p>
    <w:p>
      <w:pPr>
        <w:pStyle w:val="BodyText"/>
      </w:pPr>
      <w:r>
        <w:t xml:space="preserve">At the revenue midpoint, mechanically removing the approximately</w:t>
      </w:r>
      <w:r>
        <w:t xml:space="preserve"> </w:t>
      </w:r>
      <m:oMath>
        <m:r>
          <m:t>80</m:t>
        </m:r>
        <m:r>
          <m:t>m</m:t>
        </m:r>
        <m:r>
          <m:t>i</m:t>
        </m:r>
        <m:r>
          <m:t>l</m:t>
        </m:r>
        <m:r>
          <m:t>l</m:t>
        </m:r>
        <m:r>
          <m:t>i</m:t>
        </m:r>
        <m:r>
          <m:t>o</m:t>
        </m:r>
        <m:r>
          <m:t>n</m:t>
        </m:r>
        <m:r>
          <m:t>H</m:t>
        </m:r>
        <m:r>
          <m:t>a</m:t>
        </m:r>
        <m:r>
          <m:t>m</m:t>
        </m:r>
        <m:r>
          <m:t>p</m:t>
        </m:r>
        <m:r>
          <m:t>t</m:t>
        </m:r>
        <m:r>
          <m:t>o</m:t>
        </m:r>
        <m:r>
          <m:t>n</m:t>
        </m:r>
        <m:r>
          <m:t>c</m:t>
        </m:r>
        <m:r>
          <m:t>o</m:t>
        </m:r>
        <m:r>
          <m:t>n</m:t>
        </m:r>
        <m:r>
          <m:t>t</m:t>
        </m:r>
        <m:r>
          <m:t>r</m:t>
        </m:r>
        <m:r>
          <m:t>i</m:t>
        </m:r>
        <m:r>
          <m:t>b</m:t>
        </m:r>
        <m:r>
          <m:t>u</m:t>
        </m:r>
        <m:r>
          <m:t>t</m:t>
        </m:r>
        <m:r>
          <m:t>i</m:t>
        </m:r>
        <m:r>
          <m:t>o</m:t>
        </m:r>
        <m:r>
          <m:t>n</m:t>
        </m:r>
        <m:r>
          <m:t>i</m:t>
        </m:r>
        <m:r>
          <m:t>m</m:t>
        </m:r>
        <m:r>
          <m:t>p</m:t>
        </m:r>
        <m:r>
          <m:t>l</m:t>
        </m:r>
        <m:r>
          <m:t>i</m:t>
        </m:r>
        <m:r>
          <m:t>e</m:t>
        </m:r>
        <m:r>
          <m:t>s</m:t>
        </m:r>
        <m:r>
          <m:t>a</m:t>
        </m:r>
        <m:r>
          <m:t>b</m:t>
        </m:r>
        <m:r>
          <m:t>o</m:t>
        </m:r>
        <m:r>
          <m:t>u</m:t>
        </m:r>
        <m:r>
          <m:t>t</m:t>
        </m:r>
        <m:r>
          <m:rPr>
            <m:sty m:val="p"/>
          </m:rPr>
          <m:t>*</m:t>
        </m:r>
        <m:r>
          <m:rPr>
            <m:sty m:val="p"/>
          </m:rPr>
          <m:t>*</m:t>
        </m:r>
      </m:oMath>
      <w:r>
        <w:t xml:space="preserve">2.51 billion** of revenue. That is only an illustrative normalization—not company guidance—but it highlights why reported 2Q growth may overstate the underlying quarterly run-rate.</w:t>
      </w:r>
    </w:p>
    <w:bookmarkEnd w:id="10"/>
    <w:bookmarkStart w:id="15" w:name="why-the-setup-is-favorable"/>
    <w:p>
      <w:pPr>
        <w:pStyle w:val="Heading2"/>
      </w:pPr>
      <w:r>
        <w:t xml:space="preserve">Why the setup is favorable</w:t>
      </w:r>
    </w:p>
    <w:bookmarkStart w:id="11" w:name="X6c70e88e72deb8589be75f743546e2d6dfd231a"/>
    <w:p>
      <w:pPr>
        <w:pStyle w:val="Heading3"/>
      </w:pPr>
      <w:r>
        <w:t xml:space="preserve">1. Core demand was strong in 1Q, and backlog was at a record</w:t>
      </w:r>
    </w:p>
    <w:p>
      <w:pPr>
        <w:pStyle w:val="FirstParagraph"/>
      </w:pPr>
      <w:r>
        <w:t xml:space="preserve">In 1Q, recurring revenue grew</w:t>
      </w:r>
      <w:r>
        <w:t xml:space="preserve"> </w:t>
      </w:r>
      <w:r>
        <w:rPr>
          <w:b/>
          <w:bCs/>
        </w:rPr>
        <w:t xml:space="preserve">10% year over year</w:t>
      </w:r>
      <w:r>
        <w:t xml:space="preserve"> </w:t>
      </w:r>
      <w:r>
        <w:t xml:space="preserve">on a normalized constant-currency basis. Annualized gross bookings were</w:t>
      </w:r>
      <w:r>
        <w:t xml:space="preserve"> </w:t>
      </w:r>
      <m:oMath>
        <m:r>
          <m:t>378</m:t>
        </m:r>
        <m:r>
          <m:t>m</m:t>
        </m:r>
        <m:r>
          <m:t>i</m:t>
        </m:r>
        <m:r>
          <m:t>l</m:t>
        </m:r>
        <m:r>
          <m:t>l</m:t>
        </m:r>
        <m:r>
          <m:t>i</m:t>
        </m:r>
        <m:r>
          <m:t>o</m:t>
        </m:r>
        <m:r>
          <m:t>n</m:t>
        </m:r>
        <m:r>
          <m:rPr>
            <m:sty m:val="p"/>
          </m:rPr>
          <m:t>*</m:t>
        </m:r>
        <m:r>
          <m:rPr>
            <m:sty m:val="p"/>
          </m:rPr>
          <m:t>*</m:t>
        </m:r>
        <m:r>
          <m:rPr>
            <m:sty m:val="p"/>
          </m:rPr>
          <m:t>,</m:t>
        </m:r>
        <m:r>
          <m:t>u</m:t>
        </m:r>
        <m:r>
          <m:t>p</m:t>
        </m:r>
        <m:r>
          <m:t>9</m:t>
        </m:r>
      </m:oMath>
      <w:r>
        <w:rPr>
          <w:b/>
          <w:bCs/>
        </w:rPr>
        <w:t xml:space="preserve">140 million of presales</w:t>
      </w:r>
      <w:r>
        <w:t xml:space="preserve">. Total sales activity rose more than 35% year over year, producing a record backlog.</w:t>
      </w:r>
    </w:p>
    <w:p>
      <w:pPr>
        <w:pStyle w:val="BodyText"/>
      </w:pPr>
      <w:r>
        <w:t xml:space="preserve">The most constructive leading indicators were operational:</w:t>
      </w:r>
    </w:p>
    <w:p>
      <w:pPr>
        <w:pStyle w:val="Compact"/>
        <w:numPr>
          <w:ilvl w:val="0"/>
          <w:numId w:val="1002"/>
        </w:numPr>
      </w:pPr>
      <w:r>
        <w:rPr>
          <w:b/>
          <w:bCs/>
        </w:rPr>
        <w:t xml:space="preserve">4,100 net cabinets billing</w:t>
      </w:r>
      <w:r>
        <w:t xml:space="preserve"> </w:t>
      </w:r>
      <w:r>
        <w:t xml:space="preserve">added in 1Q.</w:t>
      </w:r>
    </w:p>
    <w:p>
      <w:pPr>
        <w:pStyle w:val="Compact"/>
        <w:numPr>
          <w:ilvl w:val="0"/>
          <w:numId w:val="1002"/>
        </w:numPr>
      </w:pPr>
      <w:r>
        <w:rPr>
          <w:b/>
          <w:bCs/>
        </w:rPr>
        <w:t xml:space="preserve">5,800 net physical and virtual interconnections</w:t>
      </w:r>
      <w:r>
        <w:t xml:space="preserve"> </w:t>
      </w:r>
      <w:r>
        <w:t xml:space="preserve">added.</w:t>
      </w:r>
    </w:p>
    <w:p>
      <w:pPr>
        <w:pStyle w:val="Compact"/>
        <w:numPr>
          <w:ilvl w:val="0"/>
          <w:numId w:val="1002"/>
        </w:numPr>
      </w:pPr>
      <w:r>
        <w:t xml:space="preserve">Churn of</w:t>
      </w:r>
      <w:r>
        <w:t xml:space="preserve"> </w:t>
      </w:r>
      <w:r>
        <w:rPr>
          <w:b/>
          <w:bCs/>
        </w:rPr>
        <w:t xml:space="preserve">1.7%</w:t>
      </w:r>
      <w:r>
        <w:t xml:space="preserve">, below the company’s 2.0%–2.5% full-year range, although management noted some timing benefit from delayed churn.</w:t>
      </w:r>
    </w:p>
    <w:p>
      <w:pPr>
        <w:pStyle w:val="Compact"/>
        <w:numPr>
          <w:ilvl w:val="0"/>
          <w:numId w:val="1002"/>
        </w:numPr>
      </w:pPr>
      <w:r>
        <w:t xml:space="preserve">Monthly recurring revenue per cabinet increased</w:t>
      </w:r>
      <w:r>
        <w:t xml:space="preserve"> </w:t>
      </w:r>
      <w:r>
        <w:rPr>
          <w:b/>
          <w:bCs/>
        </w:rPr>
        <w:t xml:space="preserve">7% year over year</w:t>
      </w:r>
      <w:r>
        <w:t xml:space="preserve"> </w:t>
      </w:r>
      <w:r>
        <w:t xml:space="preserve">to</w:t>
      </w:r>
      <w:r>
        <w:t xml:space="preserve"> </w:t>
      </w:r>
      <w:r>
        <w:rPr>
          <w:b/>
          <w:bCs/>
        </w:rPr>
        <w:t xml:space="preserve">$2,524</w:t>
      </w:r>
      <w:r>
        <w:t xml:space="preserve">, supporting the view that pricing and power density remain favorable.</w:t>
      </w:r>
    </w:p>
    <w:p>
      <w:pPr>
        <w:pStyle w:val="FirstParagraph"/>
      </w:pPr>
      <w:r>
        <w:t xml:space="preserve">A clean 2Q print would show backlog converting into recurring revenue without a deterioration in churn, cabinet adds, interconnections, or MRR per cabinet.</w:t>
      </w:r>
    </w:p>
    <w:bookmarkEnd w:id="11"/>
    <w:bookmarkStart w:id="12" w:name="X7a35d59c4c6c0ed7f8eb948b85d011ac091511c"/>
    <w:p>
      <w:pPr>
        <w:pStyle w:val="Heading3"/>
      </w:pPr>
      <w:r>
        <w:t xml:space="preserve">2. AI is becoming visible in the interconnection and presales data</w:t>
      </w:r>
    </w:p>
    <w:p>
      <w:pPr>
        <w:pStyle w:val="FirstParagraph"/>
      </w:pPr>
      <w:r>
        <w:t xml:space="preserve">Management said approximately</w:t>
      </w:r>
      <w:r>
        <w:t xml:space="preserve"> </w:t>
      </w:r>
      <w:r>
        <w:rPr>
          <w:b/>
          <w:bCs/>
        </w:rPr>
        <w:t xml:space="preserve">60% of its largest 1Q deals were AI-related</w:t>
      </w:r>
      <w:r>
        <w:t xml:space="preserve">, while eight of the top 10 AI model providers and four of the top five neoclouds were expanding with Equinix. The company reported that large-capacity Fabric connections had tripled over the prior year.</w:t>
      </w:r>
    </w:p>
    <w:p>
      <w:pPr>
        <w:pStyle w:val="BodyText"/>
      </w:pPr>
      <w:r>
        <w:t xml:space="preserve">The most tangible monetization proof points are in interconnection:</w:t>
      </w:r>
    </w:p>
    <w:p>
      <w:pPr>
        <w:pStyle w:val="Compact"/>
        <w:numPr>
          <w:ilvl w:val="0"/>
          <w:numId w:val="1003"/>
        </w:numPr>
      </w:pPr>
      <w:r>
        <w:t xml:space="preserve">Interconnection revenue grew</w:t>
      </w:r>
      <w:r>
        <w:t xml:space="preserve"> </w:t>
      </w:r>
      <w:r>
        <w:rPr>
          <w:b/>
          <w:bCs/>
        </w:rPr>
        <w:t xml:space="preserve">9% year over year</w:t>
      </w:r>
      <w:r>
        <w:t xml:space="preserve"> </w:t>
      </w:r>
      <w:r>
        <w:t xml:space="preserve">in 1Q on a normalized constant-currency basis.</w:t>
      </w:r>
    </w:p>
    <w:p>
      <w:pPr>
        <w:pStyle w:val="Compact"/>
        <w:numPr>
          <w:ilvl w:val="0"/>
          <w:numId w:val="1003"/>
        </w:numPr>
      </w:pPr>
      <w:r>
        <w:t xml:space="preserve">Equinix Fabric revenue grew</w:t>
      </w:r>
      <w:r>
        <w:t xml:space="preserve"> </w:t>
      </w:r>
      <w:r>
        <w:rPr>
          <w:b/>
          <w:bCs/>
        </w:rPr>
        <w:t xml:space="preserve">26%</w:t>
      </w:r>
      <w:r>
        <w:t xml:space="preserve">.</w:t>
      </w:r>
    </w:p>
    <w:p>
      <w:pPr>
        <w:pStyle w:val="Compact"/>
        <w:numPr>
          <w:ilvl w:val="0"/>
          <w:numId w:val="1003"/>
        </w:numPr>
      </w:pPr>
      <w:r>
        <w:t xml:space="preserve">Fabric bookings increased approximately</w:t>
      </w:r>
      <w:r>
        <w:t xml:space="preserve"> </w:t>
      </w:r>
      <w:r>
        <w:rPr>
          <w:b/>
          <w:bCs/>
        </w:rPr>
        <w:t xml:space="preserve">70%</w:t>
      </w:r>
      <w:r>
        <w:t xml:space="preserve"> </w:t>
      </w:r>
      <w:r>
        <w:t xml:space="preserve">year over year.</w:t>
      </w:r>
    </w:p>
    <w:p>
      <w:pPr>
        <w:pStyle w:val="Compact"/>
        <w:numPr>
          <w:ilvl w:val="0"/>
          <w:numId w:val="1003"/>
        </w:numPr>
      </w:pPr>
      <w:r>
        <w:t xml:space="preserve">Liquid-cooling deployments reached</w:t>
      </w:r>
      <w:r>
        <w:t xml:space="preserve"> </w:t>
      </w:r>
      <w:r>
        <w:rPr>
          <w:b/>
          <w:bCs/>
        </w:rPr>
        <w:t xml:space="preserve">36</w:t>
      </w:r>
      <w:r>
        <w:t xml:space="preserve">, with seven orders in 1Q, up 50% sequentially.</w:t>
      </w:r>
    </w:p>
    <w:p>
      <w:pPr>
        <w:pStyle w:val="FirstParagraph"/>
      </w:pPr>
      <w:r>
        <w:t xml:space="preserve">For investors, the key is whether AI demand continues to lift higher-value connectivity, density, and presales rather than simply increasing capital requirements.</w:t>
      </w:r>
    </w:p>
    <w:bookmarkEnd w:id="12"/>
    <w:bookmarkStart w:id="13" w:name="X5198676750cfa57a82092a848a16eb744519c88"/>
    <w:p>
      <w:pPr>
        <w:pStyle w:val="Heading3"/>
      </w:pPr>
      <w:r>
        <w:t xml:space="preserve">3. Margin execution has improved materially</w:t>
      </w:r>
    </w:p>
    <w:p>
      <w:pPr>
        <w:pStyle w:val="FirstParagraph"/>
      </w:pPr>
      <w:r>
        <w:t xml:space="preserve">1Q adjusted EBITDA reached a record</w:t>
      </w:r>
      <w:r>
        <w:t xml:space="preserve"> </w:t>
      </w:r>
      <w:r>
        <w:rPr>
          <w:b/>
          <w:bCs/>
        </w:rPr>
        <w:t xml:space="preserve">$1.245 billion</w:t>
      </w:r>
      <w:r>
        <w:t xml:space="preserve">, with a</w:t>
      </w:r>
      <w:r>
        <w:t xml:space="preserve"> </w:t>
      </w:r>
      <w:r>
        <w:rPr>
          <w:b/>
          <w:bCs/>
        </w:rPr>
        <w:t xml:space="preserve">51% margin</w:t>
      </w:r>
      <w:r>
        <w:t xml:space="preserve">, up from 48% a year earlier. The 2Q EBITDA-margin guide of 52%–53% implies continued operating leverage, helped by cost discipline, pricing, and mix.</w:t>
      </w:r>
    </w:p>
    <w:p>
      <w:pPr>
        <w:pStyle w:val="BodyText"/>
      </w:pPr>
      <w:r>
        <w:t xml:space="preserve">The test in 2Q is whether the margin expansion is sufficiently repeatable. Hampton-related non-recurring revenue may enhance quarterly profitability, so the quality of the margin result will depend on management’s commentary around retail margins, cash gross margin, energy costs, and the outlook for the second half.</w:t>
      </w:r>
    </w:p>
    <w:bookmarkEnd w:id="13"/>
    <w:bookmarkStart w:id="14" w:name="Xf085cb8275e506944cdb80298061b87b25fc9ea"/>
    <w:p>
      <w:pPr>
        <w:pStyle w:val="Heading3"/>
      </w:pPr>
      <w:r>
        <w:t xml:space="preserve">4. Full-year outlook leaves room for a further raise—but the bar is higher</w:t>
      </w:r>
    </w:p>
    <w:p>
      <w:pPr>
        <w:pStyle w:val="FirstParagraph"/>
      </w:pPr>
      <w:r>
        <w:t xml:space="preserve">After 1Q, Equinix raised 2026 guidance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guidance</w:t>
            </w:r>
          </w:p>
        </w:tc>
      </w:tr>
      <w:tr>
        <w:tc>
          <w:tcPr/>
          <w:p>
            <w:pPr>
              <w:pStyle w:val="Compact"/>
            </w:pPr>
            <w:r>
              <w:t xml:space="preserve">Revenue</w:t>
            </w:r>
          </w:p>
        </w:tc>
        <w:tc>
          <w:tcPr/>
          <w:p>
            <w:pPr>
              <w:pStyle w:val="Compact"/>
              <w:jc w:val="right"/>
            </w:pPr>
            <m:oMath>
              <m:r>
                <m:t>10.144</m:t>
              </m:r>
              <m:r>
                <m:t>B</m:t>
              </m:r>
              <m:r>
                <m:rPr>
                  <m:sty m:val="p"/>
                </m:rPr>
                <m:t>–</m:t>
              </m:r>
            </m:oMath>
            <w:r>
              <w:rPr>
                <w:b/>
                <w:bCs/>
              </w:rPr>
              <w:t xml:space="preserve">10.244B</w:t>
            </w:r>
          </w:p>
        </w:tc>
      </w:tr>
      <w:tr>
        <w:tc>
          <w:tcPr/>
          <w:p>
            <w:pPr>
              <w:pStyle w:val="Compact"/>
            </w:pPr>
            <w:r>
              <w:t xml:space="preserve">Adjusted EBITDA</w:t>
            </w:r>
          </w:p>
        </w:tc>
        <w:tc>
          <w:tcPr/>
          <w:p>
            <w:pPr>
              <w:pStyle w:val="Compact"/>
              <w:jc w:val="right"/>
            </w:pPr>
            <m:oMath>
              <m:r>
                <m:t>5.165</m:t>
              </m:r>
              <m:r>
                <m:t>B</m:t>
              </m:r>
              <m:r>
                <m:rPr>
                  <m:sty m:val="p"/>
                </m:rPr>
                <m:t>–</m:t>
              </m:r>
            </m:oMath>
            <w:r>
              <w:rPr>
                <w:b/>
                <w:bCs/>
              </w:rPr>
              <w:t xml:space="preserve">5.245B</w:t>
            </w:r>
          </w:p>
        </w:tc>
      </w:tr>
      <w:tr>
        <w:tc>
          <w:tcPr/>
          <w:p>
            <w:pPr>
              <w:pStyle w:val="Compact"/>
            </w:pPr>
            <w:r>
              <w:t xml:space="preserve">Adjusted EBITDA margin</w:t>
            </w:r>
          </w:p>
        </w:tc>
        <w:tc>
          <w:tcPr/>
          <w:p>
            <w:pPr>
              <w:pStyle w:val="Compact"/>
              <w:jc w:val="right"/>
            </w:pPr>
            <w:r>
              <w:rPr>
                <w:b/>
                <w:bCs/>
              </w:rPr>
              <w:t xml:space="preserve">~51%</w:t>
            </w:r>
          </w:p>
        </w:tc>
      </w:tr>
      <w:tr>
        <w:tc>
          <w:tcPr/>
          <w:p>
            <w:pPr>
              <w:pStyle w:val="Compact"/>
            </w:pPr>
            <w:r>
              <w:t xml:space="preserve">AFFO</w:t>
            </w:r>
          </w:p>
        </w:tc>
        <w:tc>
          <w:tcPr/>
          <w:p>
            <w:pPr>
              <w:pStyle w:val="Compact"/>
              <w:jc w:val="right"/>
            </w:pPr>
            <m:oMath>
              <m:r>
                <m:t>4.198</m:t>
              </m:r>
              <m:r>
                <m:t>B</m:t>
              </m:r>
              <m:r>
                <m:rPr>
                  <m:sty m:val="p"/>
                </m:rPr>
                <m:t>–</m:t>
              </m:r>
            </m:oMath>
            <w:r>
              <w:rPr>
                <w:b/>
                <w:bCs/>
              </w:rPr>
              <w:t xml:space="preserve">4.278B</w:t>
            </w:r>
          </w:p>
        </w:tc>
      </w:tr>
      <w:tr>
        <w:tc>
          <w:tcPr/>
          <w:p>
            <w:pPr>
              <w:pStyle w:val="Compact"/>
            </w:pPr>
            <w:r>
              <w:t xml:space="preserve">AFFO/share</w:t>
            </w:r>
          </w:p>
        </w:tc>
        <w:tc>
          <w:tcPr/>
          <w:p>
            <w:pPr>
              <w:pStyle w:val="Compact"/>
              <w:jc w:val="right"/>
            </w:pPr>
            <m:oMath>
              <m:r>
                <m:t>42.31</m:t>
              </m:r>
              <m:r>
                <m:rPr>
                  <m:sty m:val="p"/>
                </m:rPr>
                <m:t>–</m:t>
              </m:r>
            </m:oMath>
            <w:r>
              <w:rPr>
                <w:b/>
                <w:bCs/>
              </w:rPr>
              <w:t xml:space="preserve">43.11</w:t>
            </w:r>
          </w:p>
        </w:tc>
      </w:tr>
      <w:tr>
        <w:tc>
          <w:tcPr/>
          <w:p>
            <w:pPr>
              <w:pStyle w:val="Compact"/>
            </w:pPr>
            <w:r>
              <w:t xml:space="preserve">Total capex</w:t>
            </w:r>
          </w:p>
        </w:tc>
        <w:tc>
          <w:tcPr/>
          <w:p>
            <w:pPr>
              <w:pStyle w:val="Compact"/>
              <w:jc w:val="right"/>
            </w:pPr>
            <w:r>
              <w:rPr>
                <w:b/>
                <w:bCs/>
              </w:rPr>
              <w:t xml:space="preserve">~$4.1B</w:t>
            </w:r>
          </w:p>
        </w:tc>
      </w:tr>
      <w:tr>
        <w:tc>
          <w:tcPr/>
          <w:p>
            <w:pPr>
              <w:pStyle w:val="Compact"/>
            </w:pPr>
            <w:r>
              <w:t xml:space="preserve">Non-recurring capex, excluding xScale and land</w:t>
            </w:r>
          </w:p>
        </w:tc>
        <w:tc>
          <w:tcPr/>
          <w:p>
            <w:pPr>
              <w:pStyle w:val="Compact"/>
              <w:jc w:val="right"/>
            </w:pPr>
            <w:r>
              <w:rPr>
                <w:b/>
                <w:bCs/>
              </w:rPr>
              <w:t xml:space="preserve">~$3.8B</w:t>
            </w:r>
          </w:p>
        </w:tc>
      </w:tr>
    </w:tbl>
    <w:p>
      <w:pPr>
        <w:pStyle w:val="BodyText"/>
      </w:pPr>
      <w:r>
        <w:t xml:space="preserve">The 1Q raise reflected better-than-expected operating performance, not Hampton—whose full-year impact had already been included. With 1Q recurring revenue at the high end of expectations and a strong bookings backdrop, another raise is possible if 2Q operating performance exceeds plan. But investors should be wary of treating recognition of the delayed Hampton transaction as organic upside.</w:t>
      </w:r>
    </w:p>
    <w:bookmarkEnd w:id="14"/>
    <w:bookmarkEnd w:id="15"/>
    <w:bookmarkStart w:id="16" w:name="Xb0d704fca26dcc856695d6987acf1059fe1878a"/>
    <w:p>
      <w:pPr>
        <w:pStyle w:val="Heading2"/>
      </w:pPr>
      <w:r>
        <w:t xml:space="preserve">The major debate: growth investment versus funding and execution risk</w:t>
      </w:r>
    </w:p>
    <w:p>
      <w:pPr>
        <w:pStyle w:val="FirstParagraph"/>
      </w:pPr>
      <w:r>
        <w:t xml:space="preserve">Equinix is investing aggressively to capture power-constrained demand. It had</w:t>
      </w:r>
      <w:r>
        <w:t xml:space="preserve"> </w:t>
      </w:r>
      <w:r>
        <w:rPr>
          <w:b/>
          <w:bCs/>
        </w:rPr>
        <w:t xml:space="preserve">46 major projects underway across 32 markets</w:t>
      </w:r>
      <w:r>
        <w:t xml:space="preserve"> </w:t>
      </w:r>
      <w:r>
        <w:t xml:space="preserve">at the end of 1Q, including six xScale projects, and said roughly</w:t>
      </w:r>
      <w:r>
        <w:t xml:space="preserve"> </w:t>
      </w:r>
      <w:r>
        <w:rPr>
          <w:b/>
          <w:bCs/>
        </w:rPr>
        <w:t xml:space="preserve">25% of 2026 retail capacity expansion had already been sold</w:t>
      </w:r>
      <w:r>
        <w:t xml:space="preserve">. More than 70% of its retail expansion capex is directed to major metros.</w:t>
      </w:r>
    </w:p>
    <w:p>
      <w:pPr>
        <w:pStyle w:val="BodyText"/>
      </w:pPr>
      <w:r>
        <w:t xml:space="preserve">That opportunity also creates the principal risk. At 1Q-end:</w:t>
      </w:r>
    </w:p>
    <w:p>
      <w:pPr>
        <w:pStyle w:val="Compact"/>
        <w:numPr>
          <w:ilvl w:val="0"/>
          <w:numId w:val="1004"/>
        </w:numPr>
      </w:pPr>
      <w:r>
        <w:t xml:space="preserve">Cash and short-term investments were approximately</w:t>
      </w:r>
      <w:r>
        <w:t xml:space="preserve"> </w:t>
      </w:r>
      <w:r>
        <w:rPr>
          <w:b/>
          <w:bCs/>
        </w:rPr>
        <w:t xml:space="preserve">$3.1 billion</w:t>
      </w:r>
      <w:r>
        <w:t xml:space="preserve">.</w:t>
      </w:r>
    </w:p>
    <w:p>
      <w:pPr>
        <w:pStyle w:val="Compact"/>
        <w:numPr>
          <w:ilvl w:val="0"/>
          <w:numId w:val="1004"/>
        </w:numPr>
      </w:pPr>
      <w:r>
        <w:t xml:space="preserve">Debt principal outstanding was</w:t>
      </w:r>
      <w:r>
        <w:t xml:space="preserve"> </w:t>
      </w:r>
      <w:r>
        <w:rPr>
          <w:b/>
          <w:bCs/>
        </w:rPr>
        <w:t xml:space="preserve">$22.1 billion</w:t>
      </w:r>
      <w:r>
        <w:t xml:space="preserve">.</w:t>
      </w:r>
    </w:p>
    <w:p>
      <w:pPr>
        <w:pStyle w:val="Compact"/>
        <w:numPr>
          <w:ilvl w:val="0"/>
          <w:numId w:val="1004"/>
        </w:numPr>
      </w:pPr>
      <w:r>
        <w:t xml:space="preserve">Net leverage was</w:t>
      </w:r>
      <w:r>
        <w:t xml:space="preserve"> </w:t>
      </w:r>
      <w:r>
        <w:rPr>
          <w:b/>
          <w:bCs/>
        </w:rPr>
        <w:t xml:space="preserve">3.8x annualized adjusted EBITDA</w:t>
      </w:r>
      <w:r>
        <w:t xml:space="preserve">.</w:t>
      </w:r>
    </w:p>
    <w:p>
      <w:pPr>
        <w:pStyle w:val="Compact"/>
        <w:numPr>
          <w:ilvl w:val="0"/>
          <w:numId w:val="1004"/>
        </w:numPr>
      </w:pPr>
      <w:r>
        <w:t xml:space="preserve">1Q capex was roughly</w:t>
      </w:r>
      <w:r>
        <w:t xml:space="preserve"> </w:t>
      </w:r>
      <w:r>
        <w:rPr>
          <w:b/>
          <w:bCs/>
        </w:rPr>
        <w:t xml:space="preserve">$1.3 billion</w:t>
      </w:r>
      <w:r>
        <w:t xml:space="preserve">, about 90% of which was growth-oriented.</w:t>
      </w:r>
    </w:p>
    <w:p>
      <w:pPr>
        <w:pStyle w:val="FirstParagraph"/>
      </w:pPr>
      <w:r>
        <w:t xml:space="preserve">Equinix has continued to access debt markets, including a May 2026 issuance by its Canadian financing subsidiary of</w:t>
      </w:r>
      <w:r>
        <w:t xml:space="preserve"> </w:t>
      </w:r>
      <w:r>
        <w:rPr>
          <w:b/>
          <w:bCs/>
        </w:rPr>
        <w:t xml:space="preserve">C</w:t>
      </w:r>
      <m:oMath>
        <m:r>
          <m:t>650</m:t>
        </m:r>
        <m:r>
          <m:t>m</m:t>
        </m:r>
        <m:r>
          <m:t>i</m:t>
        </m:r>
        <m:r>
          <m:t>l</m:t>
        </m:r>
        <m:r>
          <m:t>l</m:t>
        </m:r>
        <m:r>
          <m:t>i</m:t>
        </m:r>
        <m:r>
          <m:t>o</m:t>
        </m:r>
        <m:r>
          <m:t>n</m:t>
        </m:r>
        <m:r>
          <m:t>o</m:t>
        </m:r>
        <m:r>
          <m:t>f</m:t>
        </m:r>
        <m:r>
          <m:t>3.95</m:t>
        </m:r>
      </m:oMath>
      <w:r>
        <w:rPr>
          <w:b/>
          <w:bCs/>
        </w:rPr>
        <w:t xml:space="preserve">600 million of 4.75% notes due 2035</w:t>
      </w:r>
      <w:r>
        <w:t xml:space="preserve">. The report should clarify the funding path for expansion, the expected pace of xScale-related spending, leverage tolerance, and whether attractive return underwriting remains intact as new builds become more power-dense.</w:t>
      </w:r>
    </w:p>
    <w:p>
      <w:pPr>
        <w:pStyle w:val="BodyText"/>
      </w:pPr>
      <w:r>
        <w:t xml:space="preserve">Management continues to target</w:t>
      </w:r>
      <w:r>
        <w:t xml:space="preserve"> </w:t>
      </w:r>
      <w:r>
        <w:rPr>
          <w:b/>
          <w:bCs/>
        </w:rPr>
        <w:t xml:space="preserve">mid-20% unlevered cash-on-cash returns</w:t>
      </w:r>
      <w:r>
        <w:t xml:space="preserve">. That target is critical: an acceleration in capex is value-creating only if returns, lease-up and customer commitments support it.</w:t>
      </w:r>
    </w:p>
    <w:bookmarkEnd w:id="16"/>
    <w:bookmarkStart w:id="23" w:name="what-matters-most-on-the-call"/>
    <w:p>
      <w:pPr>
        <w:pStyle w:val="Heading2"/>
      </w:pPr>
      <w:r>
        <w:t xml:space="preserve">What matters most on the call</w:t>
      </w:r>
    </w:p>
    <w:bookmarkStart w:id="17" w:name="Xacc9ee871e065f309b5d08cbb50484fedd24e0f"/>
    <w:p>
      <w:pPr>
        <w:pStyle w:val="Heading3"/>
      </w:pPr>
      <w:r>
        <w:t xml:space="preserve">1. Underlying growth excluding Hampton</w:t>
      </w:r>
    </w:p>
    <w:p>
      <w:pPr>
        <w:pStyle w:val="FirstParagraph"/>
      </w:pPr>
      <w:r>
        <w:t xml:space="preserve">Investors should ask for a clear bridge between:</w:t>
      </w:r>
    </w:p>
    <w:p>
      <w:pPr>
        <w:pStyle w:val="Compact"/>
        <w:numPr>
          <w:ilvl w:val="0"/>
          <w:numId w:val="1005"/>
        </w:numPr>
      </w:pPr>
      <w:r>
        <w:t xml:space="preserve">reported revenue;</w:t>
      </w:r>
    </w:p>
    <w:p>
      <w:pPr>
        <w:pStyle w:val="Compact"/>
        <w:numPr>
          <w:ilvl w:val="0"/>
          <w:numId w:val="1005"/>
        </w:numPr>
      </w:pPr>
      <w:r>
        <w:t xml:space="preserve">Hampton/xScale-related non-recurring effects;</w:t>
      </w:r>
    </w:p>
    <w:p>
      <w:pPr>
        <w:pStyle w:val="Compact"/>
        <w:numPr>
          <w:ilvl w:val="0"/>
          <w:numId w:val="1005"/>
        </w:numPr>
      </w:pPr>
      <w:r>
        <w:t xml:space="preserve">FX;</w:t>
      </w:r>
    </w:p>
    <w:p>
      <w:pPr>
        <w:pStyle w:val="Compact"/>
        <w:numPr>
          <w:ilvl w:val="0"/>
          <w:numId w:val="1005"/>
        </w:numPr>
      </w:pPr>
      <w:r>
        <w:t xml:space="preserve">normalized constant-currency recurring revenue growth; and</w:t>
      </w:r>
    </w:p>
    <w:p>
      <w:pPr>
        <w:pStyle w:val="Compact"/>
        <w:numPr>
          <w:ilvl w:val="0"/>
          <w:numId w:val="1005"/>
        </w:numPr>
      </w:pPr>
      <w:r>
        <w:t xml:space="preserve">organic retail colocation and interconnection demand.</w:t>
      </w:r>
    </w:p>
    <w:p>
      <w:pPr>
        <w:pStyle w:val="FirstParagraph"/>
      </w:pPr>
      <w:r>
        <w:t xml:space="preserve">The ideal outcome is a solid guide beat or raise</w:t>
      </w:r>
      <w:r>
        <w:t xml:space="preserve"> </w:t>
      </w:r>
      <w:r>
        <w:rPr>
          <w:b/>
          <w:bCs/>
        </w:rPr>
        <w:t xml:space="preserve">plus</w:t>
      </w:r>
      <w:r>
        <w:t xml:space="preserve"> </w:t>
      </w:r>
      <w:r>
        <w:t xml:space="preserve">evidence that the recurring-revenue engine is still near the 10% normalized growth rate delivered in 1Q.</w:t>
      </w:r>
    </w:p>
    <w:bookmarkEnd w:id="17"/>
    <w:bookmarkStart w:id="18" w:name="Xc55c75bc40948d460a4da46c660afdb01a0db58"/>
    <w:p>
      <w:pPr>
        <w:pStyle w:val="Heading3"/>
      </w:pPr>
      <w:r>
        <w:t xml:space="preserve">2. Bookings, presales, and cabinet backlog</w:t>
      </w:r>
    </w:p>
    <w:p>
      <w:pPr>
        <w:pStyle w:val="FirstParagraph"/>
      </w:pPr>
      <w:r>
        <w:t xml:space="preserve">The 1Q record backlog supports second-half growth, but backlog quality matters. Watch for:</w:t>
      </w:r>
    </w:p>
    <w:p>
      <w:pPr>
        <w:pStyle w:val="Compact"/>
        <w:numPr>
          <w:ilvl w:val="0"/>
          <w:numId w:val="1006"/>
        </w:numPr>
      </w:pPr>
      <w:r>
        <w:t xml:space="preserve">annualized gross bookings relative to the $378 million achieved in 1Q;</w:t>
      </w:r>
    </w:p>
    <w:p>
      <w:pPr>
        <w:pStyle w:val="Compact"/>
        <w:numPr>
          <w:ilvl w:val="0"/>
          <w:numId w:val="1006"/>
        </w:numPr>
      </w:pPr>
      <w:r>
        <w:t xml:space="preserve">presales levels and conversion timing;</w:t>
      </w:r>
    </w:p>
    <w:p>
      <w:pPr>
        <w:pStyle w:val="Compact"/>
        <w:numPr>
          <w:ilvl w:val="0"/>
          <w:numId w:val="1006"/>
        </w:numPr>
      </w:pPr>
      <w:r>
        <w:t xml:space="preserve">cabinet additions;</w:t>
      </w:r>
    </w:p>
    <w:p>
      <w:pPr>
        <w:pStyle w:val="Compact"/>
        <w:numPr>
          <w:ilvl w:val="0"/>
          <w:numId w:val="1006"/>
        </w:numPr>
      </w:pPr>
      <w:r>
        <w:t xml:space="preserve">the backlog of sold but uninstalled cabinets;</w:t>
      </w:r>
    </w:p>
    <w:p>
      <w:pPr>
        <w:pStyle w:val="Compact"/>
        <w:numPr>
          <w:ilvl w:val="0"/>
          <w:numId w:val="1006"/>
        </w:numPr>
      </w:pPr>
      <w:r>
        <w:t xml:space="preserve">contract duration, deposits, and pricing on larger AI-related commitments.</w:t>
      </w:r>
    </w:p>
    <w:bookmarkEnd w:id="18"/>
    <w:bookmarkStart w:id="19" w:name="X0728210f626e721ba69821f940ce1206340e8fa"/>
    <w:p>
      <w:pPr>
        <w:pStyle w:val="Heading3"/>
      </w:pPr>
      <w:r>
        <w:t xml:space="preserve">3. Interconnection and Fabric growth</w:t>
      </w:r>
    </w:p>
    <w:p>
      <w:pPr>
        <w:pStyle w:val="FirstParagraph"/>
      </w:pPr>
      <w:r>
        <w:t xml:space="preserve">This is arguably the most important strategic KPI set because it differentiates Equinix from pure wholesale data-center capacity providers. Continued double-digit Fabric growth, improving attach rates, and sustained interconnection growth above stabilized-asset revenue growth would support the thesis that AI inference and hybrid-cloud architectures increase the strategic value of the Equinix ecosystem.</w:t>
      </w:r>
    </w:p>
    <w:bookmarkEnd w:id="19"/>
    <w:bookmarkStart w:id="20" w:name="Xb6a3e775f37265c4e1ab1a8c44c335d493aee99"/>
    <w:p>
      <w:pPr>
        <w:pStyle w:val="Heading3"/>
      </w:pPr>
      <w:r>
        <w:t xml:space="preserve">4. Power, density, liquid cooling, and build timing</w:t>
      </w:r>
    </w:p>
    <w:p>
      <w:pPr>
        <w:pStyle w:val="FirstParagraph"/>
      </w:pPr>
      <w:r>
        <w:t xml:space="preserve">Management has identified power availability as the chief constraint for high-density workloads. Investors should listen for commentary on:</w:t>
      </w:r>
    </w:p>
    <w:p>
      <w:pPr>
        <w:pStyle w:val="Compact"/>
        <w:numPr>
          <w:ilvl w:val="0"/>
          <w:numId w:val="1007"/>
        </w:numPr>
      </w:pPr>
      <w:r>
        <w:t xml:space="preserve">powered-land availability and new capacity pipeline;</w:t>
      </w:r>
    </w:p>
    <w:p>
      <w:pPr>
        <w:pStyle w:val="Compact"/>
        <w:numPr>
          <w:ilvl w:val="0"/>
          <w:numId w:val="1007"/>
        </w:numPr>
      </w:pPr>
      <w:r>
        <w:t xml:space="preserve">construction schedules and any supply-chain or power-delivery delays;</w:t>
      </w:r>
    </w:p>
    <w:p>
      <w:pPr>
        <w:pStyle w:val="Compact"/>
        <w:numPr>
          <w:ilvl w:val="0"/>
          <w:numId w:val="1007"/>
        </w:numPr>
      </w:pPr>
      <w:r>
        <w:t xml:space="preserve">liquid-cooling order growth and deployment scale;</w:t>
      </w:r>
    </w:p>
    <w:p>
      <w:pPr>
        <w:pStyle w:val="Compact"/>
        <w:numPr>
          <w:ilvl w:val="0"/>
          <w:numId w:val="1007"/>
        </w:numPr>
      </w:pPr>
      <w:r>
        <w:t xml:space="preserve">whether higher-density designs preserve the targeted mid-20% returns; and</w:t>
      </w:r>
    </w:p>
    <w:p>
      <w:pPr>
        <w:pStyle w:val="Compact"/>
        <w:numPr>
          <w:ilvl w:val="0"/>
          <w:numId w:val="1007"/>
        </w:numPr>
      </w:pPr>
      <w:r>
        <w:t xml:space="preserve">any incremental need to reserve adjacent space or power for dense deployments.</w:t>
      </w:r>
    </w:p>
    <w:bookmarkEnd w:id="20"/>
    <w:bookmarkStart w:id="21" w:name="X9551dd410ed3926fe6b613c0b78625d7b11bae8"/>
    <w:p>
      <w:pPr>
        <w:pStyle w:val="Heading3"/>
      </w:pPr>
      <w:r>
        <w:t xml:space="preserve">5. Guidance and the second-half cadence</w:t>
      </w:r>
    </w:p>
    <w:p>
      <w:pPr>
        <w:pStyle w:val="FirstParagraph"/>
      </w:pPr>
      <w:r>
        <w:t xml:space="preserve">Using the midpoint of full-year guidance, Equinix would need approximately</w:t>
      </w:r>
      <w:r>
        <w:t xml:space="preserve"> </w:t>
      </w:r>
      <m:oMath>
        <m:r>
          <m:t>5.16</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2.59 billion of adjusted EBITDA</w:t>
      </w:r>
      <w:r>
        <w:t xml:space="preserve"> </w:t>
      </w:r>
      <w:r>
        <w:t xml:space="preserve">in the second half after 1Q actuals and 2Q midpoint guidance. The implied second-half EBITDA margin is lower than the 2Q guided margin, reinforcing that quarter-specific mix—including Hampton—matters.</w:t>
      </w:r>
    </w:p>
    <w:p>
      <w:pPr>
        <w:pStyle w:val="BodyText"/>
      </w:pPr>
      <w:r>
        <w:t xml:space="preserve">A raise would be a positive signal, but the best-quality raise would be based on sustained retail/interconnection performance, bookings conversion, and margin execution—not solely transaction timing or FX.</w:t>
      </w:r>
    </w:p>
    <w:bookmarkEnd w:id="21"/>
    <w:bookmarkStart w:id="22" w:name="X4cdd27927479312f5ce93d39ebfcceca84a5cd0"/>
    <w:p>
      <w:pPr>
        <w:pStyle w:val="Heading3"/>
      </w:pPr>
      <w:r>
        <w:t xml:space="preserve">6. Leadership transitions</w:t>
      </w:r>
    </w:p>
    <w:p>
      <w:pPr>
        <w:pStyle w:val="FirstParagraph"/>
      </w:pPr>
      <w:r>
        <w:t xml:space="preserve">The company disclosed that Chief Business Officer</w:t>
      </w:r>
      <w:r>
        <w:t xml:space="preserve"> </w:t>
      </w:r>
      <w:r>
        <w:rPr>
          <w:b/>
          <w:bCs/>
        </w:rPr>
        <w:t xml:space="preserve">Jon Lin separated effective July 18, 2026</w:t>
      </w:r>
      <w:r>
        <w:t xml:space="preserve">, with responsibilities distributed among the existing senior leadership team and a new Chief Product Officer expected to be announced. This is unlikely to alter the near-term financial model, but it adds a modest execution and organizational-watch item at a time when Equinix is pushing new AI-oriented products and a substantial capacity buildout.</w:t>
      </w:r>
    </w:p>
    <w:bookmarkEnd w:id="22"/>
    <w:bookmarkEnd w:id="23"/>
    <w:bookmarkStart w:id="24" w:name="stock-setup"/>
    <w:p>
      <w:pPr>
        <w:pStyle w:val="Heading2"/>
      </w:pPr>
      <w:r>
        <w:t xml:space="preserve">Stock setup</w:t>
      </w:r>
    </w:p>
    <w:p>
      <w:pPr>
        <w:pStyle w:val="FirstParagraph"/>
      </w:pPr>
      <w:r>
        <w:t xml:space="preserve">EQIX closed at</w:t>
      </w:r>
      <w:r>
        <w:t xml:space="preserve"> </w:t>
      </w:r>
      <w:r>
        <w:rPr>
          <w:b/>
          <w:bCs/>
        </w:rPr>
        <w:t xml:space="preserve">$1,034.90 on July 28, 2026</w:t>
      </w:r>
      <w:r>
        <w:t xml:space="preserve">. The shares were up roughly</w:t>
      </w:r>
      <w:r>
        <w:t xml:space="preserve"> </w:t>
      </w:r>
      <w:r>
        <w:rPr>
          <w:b/>
          <w:bCs/>
        </w:rPr>
        <w:t xml:space="preserve">35% from $766.16 at December 31, 2025</w:t>
      </w:r>
      <w:r>
        <w:t xml:space="preserve">, but had retreated from their late-June high near $1,116. The stock’s performance reflects meaningful confidence in the AI infrastructure, margin, and growth-capex narrative—so merely meeting the reported quarter’s elevated revenue and EBITDA ranges may not be enough.</w:t>
      </w:r>
    </w:p>
    <w:p>
      <w:pPr>
        <w:pStyle w:val="BodyText"/>
      </w:pPr>
      <w:r>
        <w:t xml:space="preserve">The likely market reaction will hinge on the</w:t>
      </w:r>
      <w:r>
        <w:t xml:space="preserve"> </w:t>
      </w:r>
      <w:r>
        <w:rPr>
          <w:b/>
          <w:bCs/>
        </w:rPr>
        <w:t xml:space="preserve">quality of the beat</w:t>
      </w:r>
      <w:r>
        <w:t xml:space="preserve">:</w:t>
      </w:r>
    </w:p>
    <w:p>
      <w:pPr>
        <w:pStyle w:val="Compact"/>
        <w:numPr>
          <w:ilvl w:val="0"/>
          <w:numId w:val="1008"/>
        </w:numPr>
      </w:pPr>
      <w:r>
        <w:rPr>
          <w:b/>
          <w:bCs/>
        </w:rPr>
        <w:t xml:space="preserve">Bullish outcome:</w:t>
      </w:r>
      <w:r>
        <w:t xml:space="preserve"> </w:t>
      </w:r>
      <w:r>
        <w:t xml:space="preserve">core recurring growth remains around 10% or better; bookings/presales and Fabric trends stay strong; management raises full-year expectations on operations; capex returns and leverage remain controlled.</w:t>
      </w:r>
    </w:p>
    <w:p>
      <w:pPr>
        <w:pStyle w:val="Compact"/>
        <w:numPr>
          <w:ilvl w:val="0"/>
          <w:numId w:val="1008"/>
        </w:numPr>
      </w:pPr>
      <w:r>
        <w:rPr>
          <w:b/>
          <w:bCs/>
        </w:rPr>
        <w:t xml:space="preserve">Neutral outcome:</w:t>
      </w:r>
      <w:r>
        <w:t xml:space="preserve"> </w:t>
      </w:r>
      <w:r>
        <w:t xml:space="preserve">results meet guidance, largely aided by Hampton; full-year guide is maintained; core growth and bookings remain healthy but do not accelerate.</w:t>
      </w:r>
    </w:p>
    <w:p>
      <w:pPr>
        <w:pStyle w:val="Compact"/>
        <w:numPr>
          <w:ilvl w:val="0"/>
          <w:numId w:val="1008"/>
        </w:numPr>
      </w:pPr>
      <w:r>
        <w:rPr>
          <w:b/>
          <w:bCs/>
        </w:rPr>
        <w:t xml:space="preserve">Bearish outcome:</w:t>
      </w:r>
      <w:r>
        <w:t xml:space="preserve"> </w:t>
      </w:r>
      <w:r>
        <w:t xml:space="preserve">reported results are fine but underlying retail demand, churn, cabinet activity, or interconnection momentum softens; capex or power constraints intensify; management signals less confidence in returns, funding, or 2027 capacity delivery.</w:t>
      </w:r>
    </w:p>
    <w:bookmarkEnd w:id="24"/>
    <w:bookmarkStart w:id="26" w:name="bottom-line"/>
    <w:p>
      <w:pPr>
        <w:pStyle w:val="Heading2"/>
      </w:pPr>
      <w:r>
        <w:t xml:space="preserve">Bottom line</w:t>
      </w:r>
    </w:p>
    <w:p>
      <w:pPr>
        <w:pStyle w:val="FirstParagraph"/>
      </w:pPr>
      <w:r>
        <w:t xml:space="preserve">Equinix’s 2Q report should be viewed as a</w:t>
      </w:r>
      <w:r>
        <w:t xml:space="preserve"> </w:t>
      </w:r>
      <w:r>
        <w:rPr>
          <w:b/>
          <w:bCs/>
        </w:rPr>
        <w:t xml:space="preserve">quality-of-growth</w:t>
      </w:r>
      <w:r>
        <w:t xml:space="preserve"> </w:t>
      </w:r>
      <w:r>
        <w:t xml:space="preserve">test rather than a simple headline-revenue test. Hampton makes the reported quarter look stronger, but it does not change the full-year earnings power already embedded in guidance. The decisive evidence will be whether Equinix can show that its record backlog, AI-led connectivity demand, pricing, and capacity presales are translating into durable recurring revenue, expanding margins, and returns that justify its elevated capital intensity.</w:t>
      </w:r>
    </w:p>
    <w:bookmarkStart w:id="25" w:name="primary-materials-reviewed"/>
    <w:p>
      <w:pPr>
        <w:pStyle w:val="Heading3"/>
      </w:pPr>
      <w:r>
        <w:t xml:space="preserve">Primary materials reviewed</w:t>
      </w:r>
    </w:p>
    <w:p>
      <w:pPr>
        <w:pStyle w:val="Compact"/>
        <w:numPr>
          <w:ilvl w:val="0"/>
          <w:numId w:val="1009"/>
        </w:numPr>
      </w:pPr>
      <w:r>
        <w:t xml:space="preserve">Equinix 1Q26 earnings release and 1Q26 earnings-call transcript, April 29, 2026.</w:t>
      </w:r>
    </w:p>
    <w:p>
      <w:pPr>
        <w:pStyle w:val="Compact"/>
        <w:numPr>
          <w:ilvl w:val="0"/>
          <w:numId w:val="1009"/>
        </w:numPr>
      </w:pPr>
      <w:r>
        <w:t xml:space="preserve">Equinix 2Q26 earnings-call scheduling release, July 1, 2026.</w:t>
      </w:r>
    </w:p>
    <w:p>
      <w:pPr>
        <w:pStyle w:val="Compact"/>
        <w:numPr>
          <w:ilvl w:val="0"/>
          <w:numId w:val="1009"/>
        </w:numPr>
      </w:pPr>
      <w:r>
        <w:t xml:space="preserve">Equinix 2Q25 earnings release, July 30, 2025.</w:t>
      </w:r>
    </w:p>
    <w:p>
      <w:pPr>
        <w:pStyle w:val="Compact"/>
        <w:numPr>
          <w:ilvl w:val="0"/>
          <w:numId w:val="1009"/>
        </w:numPr>
      </w:pPr>
      <w:r>
        <w:t xml:space="preserve">Equinix Form 8-K regarding Jon Lin’s departure, filed July 14, 2026.</w:t>
      </w:r>
    </w:p>
    <w:p>
      <w:pPr>
        <w:pStyle w:val="Compact"/>
        <w:numPr>
          <w:ilvl w:val="0"/>
          <w:numId w:val="1009"/>
        </w:numPr>
      </w:pPr>
      <w:r>
        <w:t xml:space="preserve">Equinix Form 8-K regarding Canadian senior-note issuance, filed May 7, 2026.</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2026-07-29T01:42:02Z</dcterms:created>
  <dcterms:modified xsi:type="dcterms:W3CDTF">2026-07-29T01:42:02Z</dcterms:modified>
</cp:coreProperties>
</file>

<file path=docProps/custom.xml><?xml version="1.0" encoding="utf-8"?>
<Properties xmlns="http://schemas.openxmlformats.org/officeDocument/2006/custom-properties" xmlns:vt="http://schemas.openxmlformats.org/officeDocument/2006/docPropsVTypes"/>
</file>