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ix-earnings-predictions--2026-07-29"/>
    <w:p>
      <w:pPr>
        <w:pStyle w:val="Heading1"/>
      </w:pPr>
      <w:r>
        <w:t xml:space="preserve">EQIX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~$2,600M vs. cons $2,591M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~$11.55 vs. cons $11.36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MRR Churn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~2.1% vs. cons ~2.21%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 — FY 2026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~10.5-11.5% vs. cons $10,245M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AFFO/sh Growth — FY 2026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~9.5-11.5% (mid ~$43.40) vs. cons $43.14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(FADE)</w:t>
            </w:r>
          </w:p>
        </w:tc>
        <w:tc>
          <w:tcPr/>
          <w:p>
            <w:pPr>
              <w:pStyle w:val="Compact"/>
            </w:pPr>
            <w:r>
              <w:t xml:space="preserve">FADE — implied out-period math (back-half ~0.7% below cons) pulls estimates down post-beat; partial give-back of day-1 pop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2026-08-01T02:03:09Z</dcterms:created>
  <dcterms:modified xsi:type="dcterms:W3CDTF">2026-08-01T02:03:09Z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