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Bdr>
          <w:bottom w:val="single" w:sz="4" w:space="1" w:color="FB9120"/>
        </w:pBdr>
      </w:pPr>
      <w:r>
        <w:rPr>
          <w:rFonts w:ascii="Calibri" w:hAnsi="Calibri"/>
          <w:b/>
          <w:color w:val="3B4259"/>
          <w:sz w:val="40"/>
        </w:rPr>
        <w:t>Equinix, Inc. (EQIX) — Earnings Preview</w:t>
      </w:r>
    </w:p>
    <w:tbl>
      <w:tblPr>
        <w:tblStyle w:val="TableGrid"/>
        <w:tblW w:type="auto" w:w="0"/>
        <w:tblLook w:firstColumn="1" w:firstRow="1" w:lastColumn="0" w:lastRow="0" w:noHBand="0" w:noVBand="1" w:val="04A0"/>
      </w:tblPr>
      <w:tblGrid>
        <w:gridCol w:w="4320"/>
        <w:gridCol w:w="4320"/>
      </w:tblGrid>
      <w:tr>
        <w:tc>
          <w:tcPr>
            <w:tcW w:type="dxa" w:w="4320"/>
          </w:tcPr>
          <w:p>
            <w:r>
              <w:rPr>
                <w:rFonts w:ascii="Calibri" w:hAnsi="Calibri"/>
                <w:b/>
                <w:sz w:val="22"/>
              </w:rPr>
              <w:t>Company</w:t>
            </w:r>
          </w:p>
        </w:tc>
        <w:tc>
          <w:tcPr>
            <w:tcW w:type="dxa" w:w="4320"/>
          </w:tcPr>
          <w:p>
            <w:r>
              <w:rPr>
                <w:rFonts w:ascii="Calibri" w:hAnsi="Calibri"/>
                <w:sz w:val="22"/>
              </w:rPr>
              <w:t>Equinix, Inc. (EQIX)</w:t>
            </w:r>
          </w:p>
        </w:tc>
      </w:tr>
      <w:tr>
        <w:tc>
          <w:tcPr>
            <w:tcW w:type="dxa" w:w="4320"/>
          </w:tcPr>
          <w:p>
            <w:r>
              <w:rPr>
                <w:rFonts w:ascii="Calibri" w:hAnsi="Calibri"/>
                <w:b/>
                <w:sz w:val="22"/>
              </w:rPr>
              <w:t>Upcoming Earnings</w:t>
            </w:r>
          </w:p>
        </w:tc>
        <w:tc>
          <w:tcPr>
            <w:tcW w:type="dxa" w:w="4320"/>
          </w:tcPr>
          <w:p>
            <w:r>
              <w:rPr>
                <w:rFonts w:ascii="Calibri" w:hAnsi="Calibri"/>
                <w:sz w:val="22"/>
              </w:rPr>
              <w:t>July 29, 2026 (After Market Close) | Conference Call: 5:30 PM ET</w:t>
            </w:r>
          </w:p>
        </w:tc>
      </w:tr>
      <w:tr>
        <w:tc>
          <w:tcPr>
            <w:tcW w:type="dxa" w:w="4320"/>
          </w:tcPr>
          <w:p>
            <w:r>
              <w:rPr>
                <w:rFonts w:ascii="Calibri" w:hAnsi="Calibri"/>
                <w:b/>
                <w:sz w:val="22"/>
              </w:rPr>
              <w:t>Reporting Period</w:t>
            </w:r>
          </w:p>
        </w:tc>
        <w:tc>
          <w:tcPr>
            <w:tcW w:type="dxa" w:w="4320"/>
          </w:tcPr>
          <w:p>
            <w:r>
              <w:rPr>
                <w:rFonts w:ascii="Calibri" w:hAnsi="Calibri"/>
                <w:sz w:val="22"/>
              </w:rPr>
              <w:t>Q2 2026 (quarter ended June 30, 2026)</w:t>
            </w:r>
          </w:p>
        </w:tc>
      </w:tr>
      <w:tr>
        <w:tc>
          <w:tcPr>
            <w:tcW w:type="dxa" w:w="4320"/>
          </w:tcPr>
          <w:p>
            <w:r>
              <w:rPr>
                <w:rFonts w:ascii="Calibri" w:hAnsi="Calibri"/>
                <w:b/>
                <w:sz w:val="22"/>
              </w:rPr>
              <w:t>Prepared</w:t>
            </w:r>
          </w:p>
        </w:tc>
        <w:tc>
          <w:tcPr>
            <w:tcW w:type="dxa" w:w="4320"/>
          </w:tcPr>
          <w:p>
            <w:r>
              <w:rPr>
                <w:rFonts w:ascii="Calibri" w:hAnsi="Calibri"/>
                <w:sz w:val="22"/>
              </w:rPr>
              <w:t>July 28, 2026</w:t>
            </w:r>
          </w:p>
        </w:tc>
      </w:tr>
      <w:tr>
        <w:tc>
          <w:tcPr>
            <w:tcW w:type="dxa" w:w="4320"/>
          </w:tcPr>
          <w:p>
            <w:r>
              <w:rPr>
                <w:rFonts w:ascii="Calibri" w:hAnsi="Calibri"/>
                <w:b/>
                <w:sz w:val="22"/>
              </w:rPr>
              <w:t>Analyst Consensus</w:t>
            </w:r>
          </w:p>
        </w:tc>
        <w:tc>
          <w:tcPr>
            <w:tcW w:type="dxa" w:w="4320"/>
          </w:tcPr>
          <w:p>
            <w:r>
              <w:rPr>
                <w:rFonts w:ascii="Calibri" w:hAnsi="Calibri"/>
                <w:sz w:val="22"/>
              </w:rPr>
              <w:t>Moderate Buy | Avg. PT: ~$1,153–$1,199 | 20 Buy / 6 Hold / 0 Sell (26 analysts)</w:t>
            </w:r>
          </w:p>
        </w:tc>
      </w:tr>
    </w:tbl>
    <w:p>
      <w:pPr>
        <w:pStyle w:val="Heading2"/>
      </w:pPr>
      <w:r>
        <w:rPr>
          <w:rFonts w:ascii="Calibri" w:hAnsi="Calibri"/>
          <w:b/>
          <w:color w:val="3B4259"/>
          <w:sz w:val="28"/>
        </w:rPr>
        <w:t>1. Earnings Preview</w:t>
      </w:r>
    </w:p>
    <w:p>
      <w:r>
        <w:rPr>
          <w:rFonts w:ascii="Calibri" w:hAnsi="Calibri"/>
          <w:b/>
          <w:color w:val="525866"/>
          <w:sz w:val="22"/>
        </w:rPr>
        <w:t xml:space="preserve">Key Takeaway: </w:t>
      </w:r>
      <w:r>
        <w:rPr>
          <w:rFonts w:ascii="Calibri" w:hAnsi="Calibri"/>
          <w:color w:val="525866"/>
          <w:sz w:val="22"/>
        </w:rPr>
        <w:t>The setup into Q2 2026 is constructive — consensus is a manageable bar, the Hampton xScale lease (deferred from Q1) is the single biggest swing factor, and DLR's record Q2 print this week provides a strong sector read-through that should lift sentiment heading into the print.</w:t>
      </w:r>
    </w:p>
    <w:p>
      <w:r>
        <w:rPr>
          <w:rFonts w:ascii="Calibri" w:hAnsi="Calibri"/>
          <w:color w:val="525866"/>
          <w:sz w:val="22"/>
        </w:rPr>
        <w:t>Equinix heads into Q2 2026 earnings with momentum on its side: management guided for 10–11% MRR growth year-over-year and explicitly embedded the Hampton xScale lease economics (originally expected in Q1) into Q2 guidance, creating a visible revenue step-up that consensus has already incorporated at ~$2.59B. The bar is not particularly high — Q1 results beat on an adjusted basis despite a headline miss, and the full-year guidance raise of 100bps across revenue, EBITDA, and AFFO signals management confidence in the trajectory. Estimate revisions have been modestly positive since the Q1 print, with FY2026 AFFO/share consensus ticking up from $43.07 to $43.14, suggesting the Street is gradually giving credit for the underlying demand environment without getting ahead of itself. The stock has underperformed IYR by roughly 11 percentage points since the April 29 earnings date (EQIX ~−5% vs. IYR ~+6%), leaving the multiple compressed relative to recent history and creating a lower-risk entry point if Q2 execution is clean. The key wildcard is whether the Hampton xScale lease has formally signed and whether management raises full-year guidance again — a second consecutive raise would be a meaningful positive catalyst, while any further delay on Hampton or a churn uptick (Q1 churn was unusually low at 1.7%, partly timing-driven) could disappoint.</w:t>
      </w:r>
    </w:p>
    <w:p>
      <w:r>
        <w:br w:type="page"/>
      </w:r>
    </w:p>
    <w:p>
      <w:pPr>
        <w:pStyle w:val="Heading2"/>
      </w:pPr>
      <w:r>
        <w:rPr>
          <w:rFonts w:ascii="Calibri" w:hAnsi="Calibri"/>
          <w:b/>
          <w:color w:val="3B4259"/>
          <w:sz w:val="28"/>
        </w:rPr>
        <w:t>2. KPIs &amp; Consensus Expectations</w:t>
      </w:r>
    </w:p>
    <w:p>
      <w:r>
        <w:rPr>
          <w:rFonts w:ascii="Calibri" w:hAnsi="Calibri"/>
          <w:b/>
          <w:color w:val="525866"/>
          <w:sz w:val="22"/>
        </w:rPr>
        <w:t xml:space="preserve">Key Takeaway: </w:t>
      </w:r>
      <w:r>
        <w:rPr>
          <w:rFonts w:ascii="Calibri" w:hAnsi="Calibri"/>
          <w:color w:val="525866"/>
          <w:sz w:val="22"/>
        </w:rPr>
        <w:t>Consensus is a manageable bar at $2.59B revenue and $11.36 AFFO/share for Q2 2026; the bigger swing factor is whether the Hampton xScale lease formally closes and whether churn normalizes from Q1’s unusually low 1.7% level.</w:t>
      </w:r>
    </w:p>
    <w:p>
      <w:pPr>
        <w:pStyle w:val="Heading3"/>
      </w:pPr>
      <w:r>
        <w:rPr>
          <w:rFonts w:ascii="Calibri" w:hAnsi="Calibri"/>
          <w:b/>
          <w:color w:val="3B4259"/>
          <w:sz w:val="24"/>
        </w:rPr>
        <w:t>Table 1 — Current Quarter Snapshot (Q2 2026)</w:t>
      </w:r>
    </w:p>
    <w:tbl>
      <w:tblPr>
        <w:tblStyle w:val="TableGrid"/>
        <w:tblW w:type="auto" w:w="0"/>
        <w:tblLook w:firstColumn="1" w:firstRow="1" w:lastColumn="0" w:lastRow="0" w:noHBand="0" w:noVBand="1" w:val="04A0"/>
      </w:tblPr>
      <w:tblGrid>
        <w:gridCol w:w="1234"/>
        <w:gridCol w:w="1234"/>
        <w:gridCol w:w="1234"/>
        <w:gridCol w:w="1234"/>
        <w:gridCol w:w="1234"/>
        <w:gridCol w:w="1234"/>
        <w:gridCol w:w="1234"/>
      </w:tblGrid>
      <w:tr>
        <w:tc>
          <w:tcPr>
            <w:tcW w:type="dxa" w:w="1234"/>
            <w:shd w:val="clear" w:color="auto" w:fill="3B4259"/>
          </w:tcPr>
          <w:p>
            <w:r>
              <w:rPr>
                <w:rFonts w:ascii="Calibri" w:hAnsi="Calibri"/>
                <w:b/>
                <w:color w:val="FFFFFF"/>
                <w:sz w:val="22"/>
              </w:rPr>
              <w:t>KPI</w:t>
            </w:r>
          </w:p>
        </w:tc>
        <w:tc>
          <w:tcPr>
            <w:tcW w:type="dxa" w:w="1234"/>
            <w:shd w:val="clear" w:color="auto" w:fill="3B4259"/>
          </w:tcPr>
          <w:p>
            <w:r>
              <w:rPr>
                <w:rFonts w:ascii="Calibri" w:hAnsi="Calibri"/>
                <w:b/>
                <w:color w:val="FFFFFF"/>
                <w:sz w:val="22"/>
              </w:rPr>
              <w:t>Q1 2026 Actual (Last Qtr)</w:t>
            </w:r>
          </w:p>
        </w:tc>
        <w:tc>
          <w:tcPr>
            <w:tcW w:type="dxa" w:w="1234"/>
            <w:shd w:val="clear" w:color="auto" w:fill="3B4259"/>
          </w:tcPr>
          <w:p>
            <w:r>
              <w:rPr>
                <w:rFonts w:ascii="Calibri" w:hAnsi="Calibri"/>
                <w:b/>
                <w:color w:val="FFFFFF"/>
                <w:sz w:val="22"/>
              </w:rPr>
              <w:t>Q2 2025 Actual (Prior Year)</w:t>
            </w:r>
          </w:p>
        </w:tc>
        <w:tc>
          <w:tcPr>
            <w:tcW w:type="dxa" w:w="1234"/>
            <w:shd w:val="clear" w:color="auto" w:fill="3B4259"/>
          </w:tcPr>
          <w:p>
            <w:r>
              <w:rPr>
                <w:rFonts w:ascii="Calibri" w:hAnsi="Calibri"/>
                <w:b/>
                <w:color w:val="FFFFFF"/>
                <w:sz w:val="22"/>
              </w:rPr>
              <w:t>Q2 2026 Consensus Estimate</w:t>
            </w:r>
          </w:p>
        </w:tc>
        <w:tc>
          <w:tcPr>
            <w:tcW w:type="dxa" w:w="1234"/>
            <w:shd w:val="clear" w:color="auto" w:fill="3B4259"/>
          </w:tcPr>
          <w:p>
            <w:r>
              <w:rPr>
                <w:rFonts w:ascii="Calibri" w:hAnsi="Calibri"/>
                <w:b/>
                <w:color w:val="FFFFFF"/>
                <w:sz w:val="22"/>
              </w:rPr>
              <w:t>YoY Change</w:t>
            </w:r>
          </w:p>
        </w:tc>
        <w:tc>
          <w:tcPr>
            <w:tcW w:type="dxa" w:w="1234"/>
            <w:shd w:val="clear" w:color="auto" w:fill="3B4259"/>
          </w:tcPr>
          <w:p>
            <w:r>
              <w:rPr>
                <w:rFonts w:ascii="Calibri" w:hAnsi="Calibri"/>
                <w:b/>
                <w:color w:val="FFFFFF"/>
                <w:sz w:val="22"/>
              </w:rPr>
              <w:t>Q2 2026 Guidance (Mgmt)</w:t>
            </w:r>
          </w:p>
        </w:tc>
        <w:tc>
          <w:tcPr>
            <w:tcW w:type="dxa" w:w="1234"/>
            <w:shd w:val="clear" w:color="auto" w:fill="3B4259"/>
          </w:tcPr>
          <w:p>
            <w:r>
              <w:rPr>
                <w:rFonts w:ascii="Calibri" w:hAnsi="Calibri"/>
                <w:b/>
                <w:color w:val="FFFFFF"/>
                <w:sz w:val="22"/>
              </w:rPr>
              <w:t>Cons. vs. Guidance</w:t>
            </w:r>
          </w:p>
        </w:tc>
      </w:tr>
      <w:tr>
        <w:tc>
          <w:tcPr>
            <w:tcW w:type="dxa" w:w="1234"/>
          </w:tcPr>
          <w:p>
            <w:r>
              <w:rPr>
                <w:rFonts w:ascii="Calibri" w:hAnsi="Calibri"/>
                <w:sz w:val="22"/>
              </w:rPr>
              <w:t>Revenue ($M)</w:t>
            </w:r>
          </w:p>
        </w:tc>
        <w:tc>
          <w:tcPr>
            <w:tcW w:type="dxa" w:w="1234"/>
          </w:tcPr>
          <w:p>
            <w:r>
              <w:rPr>
                <w:rFonts w:ascii="Calibri" w:hAnsi="Calibri"/>
                <w:sz w:val="22"/>
              </w:rPr>
              <w:t>$2,444M</w:t>
            </w:r>
          </w:p>
        </w:tc>
        <w:tc>
          <w:tcPr>
            <w:tcW w:type="dxa" w:w="1234"/>
          </w:tcPr>
          <w:p>
            <w:r>
              <w:rPr>
                <w:rFonts w:ascii="Calibri" w:hAnsi="Calibri"/>
                <w:sz w:val="22"/>
              </w:rPr>
              <w:t>$2,256M</w:t>
            </w:r>
          </w:p>
        </w:tc>
        <w:tc>
          <w:tcPr>
            <w:tcW w:type="dxa" w:w="1234"/>
          </w:tcPr>
          <w:p>
            <w:r>
              <w:rPr>
                <w:rFonts w:ascii="Calibri" w:hAnsi="Calibri"/>
                <w:sz w:val="22"/>
              </w:rPr>
              <w:t>$2,591M</w:t>
            </w:r>
          </w:p>
        </w:tc>
        <w:tc>
          <w:tcPr>
            <w:tcW w:type="dxa" w:w="1234"/>
          </w:tcPr>
          <w:p>
            <w:r>
              <w:rPr>
                <w:rFonts w:ascii="Calibri" w:hAnsi="Calibri"/>
                <w:sz w:val="22"/>
              </w:rPr>
              <w:t>+14.8% YoY</w:t>
            </w:r>
          </w:p>
        </w:tc>
        <w:tc>
          <w:tcPr>
            <w:tcW w:type="dxa" w:w="1234"/>
          </w:tcPr>
          <w:p>
            <w:r>
              <w:rPr>
                <w:rFonts w:ascii="Calibri" w:hAnsi="Calibri"/>
                <w:sz w:val="22"/>
              </w:rPr>
              <w:t>10–11% MRR growth YoY; Hampton xScale economics included</w:t>
            </w:r>
          </w:p>
        </w:tc>
        <w:tc>
          <w:tcPr>
            <w:tcW w:type="dxa" w:w="1234"/>
          </w:tcPr>
          <w:p>
            <w:r>
              <w:rPr>
                <w:rFonts w:ascii="Calibri" w:hAnsi="Calibri"/>
                <w:sz w:val="22"/>
              </w:rPr>
              <w:t>~In-line with midpoint</w:t>
            </w:r>
          </w:p>
        </w:tc>
      </w:tr>
      <w:tr>
        <w:tc>
          <w:tcPr>
            <w:tcW w:type="dxa" w:w="1234"/>
          </w:tcPr>
          <w:p>
            <w:r>
              <w:rPr>
                <w:rFonts w:ascii="Calibri" w:hAnsi="Calibri"/>
                <w:sz w:val="22"/>
              </w:rPr>
              <w:t>Recurring Revenue ($M)</w:t>
            </w:r>
          </w:p>
        </w:tc>
        <w:tc>
          <w:tcPr>
            <w:tcW w:type="dxa" w:w="1234"/>
          </w:tcPr>
          <w:p>
            <w:r>
              <w:rPr>
                <w:rFonts w:ascii="Calibri" w:hAnsi="Calibri"/>
                <w:sz w:val="22"/>
              </w:rPr>
              <w:t>$2,331M</w:t>
            </w:r>
          </w:p>
        </w:tc>
        <w:tc>
          <w:tcPr>
            <w:tcW w:type="dxa" w:w="1234"/>
          </w:tcPr>
          <w:p>
            <w:r>
              <w:rPr>
                <w:rFonts w:ascii="Calibri" w:hAnsi="Calibri"/>
                <w:sz w:val="22"/>
              </w:rPr>
              <w:t>$2,143M</w:t>
            </w:r>
          </w:p>
        </w:tc>
        <w:tc>
          <w:tcPr>
            <w:tcW w:type="dxa" w:w="1234"/>
          </w:tcPr>
          <w:p>
            <w:r>
              <w:rPr>
                <w:rFonts w:ascii="Calibri" w:hAnsi="Calibri"/>
                <w:sz w:val="22"/>
              </w:rPr>
              <w:t>$2,410M</w:t>
            </w:r>
          </w:p>
        </w:tc>
        <w:tc>
          <w:tcPr>
            <w:tcW w:type="dxa" w:w="1234"/>
          </w:tcPr>
          <w:p>
            <w:r>
              <w:rPr>
                <w:rFonts w:ascii="Calibri" w:hAnsi="Calibri"/>
                <w:sz w:val="22"/>
              </w:rPr>
              <w:t>+12.5% YoY</w:t>
            </w:r>
          </w:p>
        </w:tc>
        <w:tc>
          <w:tcPr>
            <w:tcW w:type="dxa" w:w="1234"/>
          </w:tcPr>
          <w:p>
            <w:r>
              <w:rPr>
                <w:rFonts w:ascii="Calibri" w:hAnsi="Calibri"/>
                <w:sz w:val="22"/>
              </w:rPr>
              <w:t>10–11% MRR growth YoY (explicit guidance)</w:t>
            </w:r>
          </w:p>
        </w:tc>
        <w:tc>
          <w:tcPr>
            <w:tcW w:type="dxa" w:w="1234"/>
          </w:tcPr>
          <w:p>
            <w:r>
              <w:rPr>
                <w:rFonts w:ascii="Calibri" w:hAnsi="Calibri"/>
                <w:sz w:val="22"/>
              </w:rPr>
              <w:t>~In-line</w:t>
            </w:r>
          </w:p>
        </w:tc>
      </w:tr>
      <w:tr>
        <w:tc>
          <w:tcPr>
            <w:tcW w:type="dxa" w:w="1234"/>
          </w:tcPr>
          <w:p>
            <w:r>
              <w:rPr>
                <w:rFonts w:ascii="Calibri" w:hAnsi="Calibri"/>
                <w:sz w:val="22"/>
              </w:rPr>
              <w:t>Interconnection Revenue ($M)</w:t>
            </w:r>
          </w:p>
        </w:tc>
        <w:tc>
          <w:tcPr>
            <w:tcW w:type="dxa" w:w="1234"/>
          </w:tcPr>
          <w:p>
            <w:r>
              <w:rPr>
                <w:rFonts w:ascii="Calibri" w:hAnsi="Calibri"/>
                <w:sz w:val="22"/>
              </w:rPr>
              <w:t>$446M</w:t>
            </w:r>
          </w:p>
        </w:tc>
        <w:tc>
          <w:tcPr>
            <w:tcW w:type="dxa" w:w="1234"/>
          </w:tcPr>
          <w:p>
            <w:r>
              <w:rPr>
                <w:rFonts w:ascii="Calibri" w:hAnsi="Calibri"/>
                <w:sz w:val="22"/>
              </w:rPr>
              <w:t>$407M</w:t>
            </w:r>
          </w:p>
        </w:tc>
        <w:tc>
          <w:tcPr>
            <w:tcW w:type="dxa" w:w="1234"/>
          </w:tcPr>
          <w:p>
            <w:r>
              <w:rPr>
                <w:rFonts w:ascii="Calibri" w:hAnsi="Calibri"/>
                <w:sz w:val="22"/>
              </w:rPr>
              <w:t>$457M</w:t>
            </w:r>
          </w:p>
        </w:tc>
        <w:tc>
          <w:tcPr>
            <w:tcW w:type="dxa" w:w="1234"/>
          </w:tcPr>
          <w:p>
            <w:r>
              <w:rPr>
                <w:rFonts w:ascii="Calibri" w:hAnsi="Calibri"/>
                <w:sz w:val="22"/>
              </w:rPr>
              <w:t>+12.3% YoY</w:t>
            </w:r>
          </w:p>
        </w:tc>
        <w:tc>
          <w:tcPr>
            <w:tcW w:type="dxa" w:w="1234"/>
          </w:tcPr>
          <w:p>
            <w:r>
              <w:rPr>
                <w:rFonts w:ascii="Calibri" w:hAnsi="Calibri"/>
                <w:sz w:val="22"/>
              </w:rPr>
              <w:t>No specific quarterly guidance; FY implied by 10–11% total rev growth</w:t>
            </w:r>
          </w:p>
        </w:tc>
        <w:tc>
          <w:tcPr>
            <w:tcW w:type="dxa" w:w="1234"/>
          </w:tcPr>
          <w:p>
            <w:r>
              <w:rPr>
                <w:rFonts w:ascii="Calibri" w:hAnsi="Calibri"/>
                <w:sz w:val="22"/>
              </w:rPr>
              <w:t>N/A (no specific guidance)</w:t>
            </w:r>
          </w:p>
        </w:tc>
      </w:tr>
      <w:tr>
        <w:tc>
          <w:tcPr>
            <w:tcW w:type="dxa" w:w="1234"/>
          </w:tcPr>
          <w:p>
            <w:r>
              <w:rPr>
                <w:rFonts w:ascii="Calibri" w:hAnsi="Calibri"/>
                <w:sz w:val="22"/>
              </w:rPr>
              <w:t>Adj. EBITDA ($M)</w:t>
            </w:r>
          </w:p>
        </w:tc>
        <w:tc>
          <w:tcPr>
            <w:tcW w:type="dxa" w:w="1234"/>
          </w:tcPr>
          <w:p>
            <w:r>
              <w:rPr>
                <w:rFonts w:ascii="Calibri" w:hAnsi="Calibri"/>
                <w:sz w:val="22"/>
              </w:rPr>
              <w:t>$1,245M</w:t>
            </w:r>
          </w:p>
        </w:tc>
        <w:tc>
          <w:tcPr>
            <w:tcW w:type="dxa" w:w="1234"/>
          </w:tcPr>
          <w:p>
            <w:r>
              <w:rPr>
                <w:rFonts w:ascii="Calibri" w:hAnsi="Calibri"/>
                <w:sz w:val="22"/>
              </w:rPr>
              <w:t>$1,129M</w:t>
            </w:r>
          </w:p>
        </w:tc>
        <w:tc>
          <w:tcPr>
            <w:tcW w:type="dxa" w:w="1234"/>
          </w:tcPr>
          <w:p>
            <w:r>
              <w:rPr>
                <w:rFonts w:ascii="Calibri" w:hAnsi="Calibri"/>
                <w:sz w:val="22"/>
              </w:rPr>
              <w:t>$1,362M</w:t>
            </w:r>
          </w:p>
        </w:tc>
        <w:tc>
          <w:tcPr>
            <w:tcW w:type="dxa" w:w="1234"/>
          </w:tcPr>
          <w:p>
            <w:r>
              <w:rPr>
                <w:rFonts w:ascii="Calibri" w:hAnsi="Calibri"/>
                <w:sz w:val="22"/>
              </w:rPr>
              <w:t>+20.7% YoY</w:t>
            </w:r>
          </w:p>
        </w:tc>
        <w:tc>
          <w:tcPr>
            <w:tcW w:type="dxa" w:w="1234"/>
          </w:tcPr>
          <w:p>
            <w:r>
              <w:rPr>
                <w:rFonts w:ascii="Calibri" w:hAnsi="Calibri"/>
                <w:sz w:val="22"/>
              </w:rPr>
              <w:t>FY2026 margin ~51% (200bps improvement YoY)</w:t>
            </w:r>
          </w:p>
        </w:tc>
        <w:tc>
          <w:tcPr>
            <w:tcW w:type="dxa" w:w="1234"/>
          </w:tcPr>
          <w:p>
            <w:r>
              <w:rPr>
                <w:rFonts w:ascii="Calibri" w:hAnsi="Calibri"/>
                <w:sz w:val="22"/>
              </w:rPr>
              <w:t>~In-line with FY margin trajectory</w:t>
            </w:r>
          </w:p>
        </w:tc>
      </w:tr>
      <w:tr>
        <w:tc>
          <w:tcPr>
            <w:tcW w:type="dxa" w:w="1234"/>
          </w:tcPr>
          <w:p>
            <w:r>
              <w:rPr>
                <w:rFonts w:ascii="Calibri" w:hAnsi="Calibri"/>
                <w:sz w:val="22"/>
              </w:rPr>
              <w:t>AFFO per Share ($)</w:t>
            </w:r>
          </w:p>
        </w:tc>
        <w:tc>
          <w:tcPr>
            <w:tcW w:type="dxa" w:w="1234"/>
          </w:tcPr>
          <w:p>
            <w:r>
              <w:rPr>
                <w:rFonts w:ascii="Calibri" w:hAnsi="Calibri"/>
                <w:sz w:val="22"/>
              </w:rPr>
              <w:t>$10.79</w:t>
            </w:r>
          </w:p>
        </w:tc>
        <w:tc>
          <w:tcPr>
            <w:tcW w:type="dxa" w:w="1234"/>
          </w:tcPr>
          <w:p>
            <w:r>
              <w:rPr>
                <w:rFonts w:ascii="Calibri" w:hAnsi="Calibri"/>
                <w:sz w:val="22"/>
              </w:rPr>
              <w:t>$9.91</w:t>
            </w:r>
          </w:p>
        </w:tc>
        <w:tc>
          <w:tcPr>
            <w:tcW w:type="dxa" w:w="1234"/>
          </w:tcPr>
          <w:p>
            <w:r>
              <w:rPr>
                <w:rFonts w:ascii="Calibri" w:hAnsi="Calibri"/>
                <w:sz w:val="22"/>
              </w:rPr>
              <w:t>$11.36</w:t>
            </w:r>
          </w:p>
        </w:tc>
        <w:tc>
          <w:tcPr>
            <w:tcW w:type="dxa" w:w="1234"/>
          </w:tcPr>
          <w:p>
            <w:r>
              <w:rPr>
                <w:rFonts w:ascii="Calibri" w:hAnsi="Calibri"/>
                <w:sz w:val="22"/>
              </w:rPr>
              <w:t>+14.6% YoY</w:t>
            </w:r>
          </w:p>
        </w:tc>
        <w:tc>
          <w:tcPr>
            <w:tcW w:type="dxa" w:w="1234"/>
          </w:tcPr>
          <w:p>
            <w:r>
              <w:rPr>
                <w:rFonts w:ascii="Calibri" w:hAnsi="Calibri"/>
                <w:sz w:val="22"/>
              </w:rPr>
              <w:t>FY2026 AFFO/share growth 9–11% YoY</w:t>
            </w:r>
          </w:p>
        </w:tc>
        <w:tc>
          <w:tcPr>
            <w:tcW w:type="dxa" w:w="1234"/>
          </w:tcPr>
          <w:p>
            <w:r>
              <w:rPr>
                <w:rFonts w:ascii="Calibri" w:hAnsi="Calibri"/>
                <w:sz w:val="22"/>
              </w:rPr>
              <w:t>~In-line with FY guidance midpoint</w:t>
            </w:r>
          </w:p>
        </w:tc>
      </w:tr>
      <w:tr>
        <w:tc>
          <w:tcPr>
            <w:tcW w:type="dxa" w:w="1234"/>
          </w:tcPr>
          <w:p>
            <w:r>
              <w:rPr>
                <w:rFonts w:ascii="Calibri" w:hAnsi="Calibri"/>
                <w:sz w:val="22"/>
              </w:rPr>
              <w:t>MRR Churn Rate (%)</w:t>
            </w:r>
          </w:p>
        </w:tc>
        <w:tc>
          <w:tcPr>
            <w:tcW w:type="dxa" w:w="1234"/>
          </w:tcPr>
          <w:p>
            <w:r>
              <w:rPr>
                <w:rFonts w:ascii="Calibri" w:hAnsi="Calibri"/>
                <w:sz w:val="22"/>
              </w:rPr>
              <w:t>1.7%</w:t>
            </w:r>
          </w:p>
        </w:tc>
        <w:tc>
          <w:tcPr>
            <w:tcW w:type="dxa" w:w="1234"/>
          </w:tcPr>
          <w:p>
            <w:r>
              <w:rPr>
                <w:rFonts w:ascii="Calibri" w:hAnsi="Calibri"/>
                <w:sz w:val="22"/>
              </w:rPr>
              <w:t>2.6%</w:t>
            </w:r>
          </w:p>
        </w:tc>
        <w:tc>
          <w:tcPr>
            <w:tcW w:type="dxa" w:w="1234"/>
          </w:tcPr>
          <w:p>
            <w:r>
              <w:rPr>
                <w:rFonts w:ascii="Calibri" w:hAnsi="Calibri"/>
                <w:sz w:val="22"/>
              </w:rPr>
              <w:t>2.21%</w:t>
            </w:r>
          </w:p>
        </w:tc>
        <w:tc>
          <w:tcPr>
            <w:tcW w:type="dxa" w:w="1234"/>
          </w:tcPr>
          <w:p>
            <w:r>
              <w:rPr>
                <w:rFonts w:ascii="Calibri" w:hAnsi="Calibri"/>
                <w:sz w:val="22"/>
              </w:rPr>
              <w:t>Consensus expects normalization from Q1 low</w:t>
            </w:r>
          </w:p>
        </w:tc>
        <w:tc>
          <w:tcPr>
            <w:tcW w:type="dxa" w:w="1234"/>
          </w:tcPr>
          <w:p>
            <w:r>
              <w:rPr>
                <w:rFonts w:ascii="Calibri" w:hAnsi="Calibri"/>
                <w:sz w:val="22"/>
              </w:rPr>
              <w:t>FY2026: 2.0–2.5% range</w:t>
            </w:r>
          </w:p>
        </w:tc>
        <w:tc>
          <w:tcPr>
            <w:tcW w:type="dxa" w:w="1234"/>
          </w:tcPr>
          <w:p>
            <w:r>
              <w:rPr>
                <w:rFonts w:ascii="Calibri" w:hAnsi="Calibri"/>
                <w:sz w:val="22"/>
              </w:rPr>
              <w:t>Consensus within guidance range</w:t>
            </w:r>
          </w:p>
        </w:tc>
      </w:tr>
      <w:tr>
        <w:tc>
          <w:tcPr>
            <w:tcW w:type="dxa" w:w="1234"/>
          </w:tcPr>
          <w:p>
            <w:r>
              <w:rPr>
                <w:rFonts w:ascii="Calibri" w:hAnsi="Calibri"/>
                <w:sz w:val="22"/>
              </w:rPr>
              <w:t>Annualized Gross Bookings ($M)</w:t>
            </w:r>
          </w:p>
        </w:tc>
        <w:tc>
          <w:tcPr>
            <w:tcW w:type="dxa" w:w="1234"/>
          </w:tcPr>
          <w:p>
            <w:r>
              <w:rPr>
                <w:rFonts w:ascii="Calibri" w:hAnsi="Calibri"/>
                <w:sz w:val="22"/>
              </w:rPr>
              <w:t>$378M</w:t>
            </w:r>
          </w:p>
        </w:tc>
        <w:tc>
          <w:tcPr>
            <w:tcW w:type="dxa" w:w="1234"/>
          </w:tcPr>
          <w:p>
            <w:r>
              <w:rPr>
                <w:rFonts w:ascii="Calibri" w:hAnsi="Calibri"/>
                <w:sz w:val="22"/>
              </w:rPr>
              <w:t>$345M</w:t>
            </w:r>
          </w:p>
        </w:tc>
        <w:tc>
          <w:tcPr>
            <w:tcW w:type="dxa" w:w="1234"/>
          </w:tcPr>
          <w:p>
            <w:r>
              <w:rPr>
                <w:rFonts w:ascii="Calibri" w:hAnsi="Calibri"/>
                <w:sz w:val="22"/>
              </w:rPr>
              <w:t>$404M</w:t>
            </w:r>
          </w:p>
        </w:tc>
        <w:tc>
          <w:tcPr>
            <w:tcW w:type="dxa" w:w="1234"/>
          </w:tcPr>
          <w:p>
            <w:r>
              <w:rPr>
                <w:rFonts w:ascii="Calibri" w:hAnsi="Calibri"/>
                <w:sz w:val="22"/>
              </w:rPr>
              <w:t>+17.1% YoY</w:t>
            </w:r>
          </w:p>
        </w:tc>
        <w:tc>
          <w:tcPr>
            <w:tcW w:type="dxa" w:w="1234"/>
          </w:tcPr>
          <w:p>
            <w:r>
              <w:rPr>
                <w:rFonts w:ascii="Calibri" w:hAnsi="Calibri"/>
                <w:sz w:val="22"/>
              </w:rPr>
              <w:t>No specific quarterly guidance</w:t>
            </w:r>
          </w:p>
        </w:tc>
        <w:tc>
          <w:tcPr>
            <w:tcW w:type="dxa" w:w="1234"/>
          </w:tcPr>
          <w:p>
            <w:r>
              <w:rPr>
                <w:rFonts w:ascii="Calibri" w:hAnsi="Calibri"/>
                <w:sz w:val="22"/>
              </w:rPr>
              <w:t>N/A</w:t>
            </w:r>
          </w:p>
        </w:tc>
      </w:tr>
      <w:tr>
        <w:tc>
          <w:tcPr>
            <w:tcW w:type="dxa" w:w="1234"/>
          </w:tcPr>
          <w:p>
            <w:r>
              <w:rPr>
                <w:rFonts w:ascii="Calibri" w:hAnsi="Calibri"/>
                <w:sz w:val="22"/>
              </w:rPr>
              <w:t>Interconnection Net Adds (Total, #)</w:t>
            </w:r>
          </w:p>
        </w:tc>
        <w:tc>
          <w:tcPr>
            <w:tcW w:type="dxa" w:w="1234"/>
          </w:tcPr>
          <w:p>
            <w:r>
              <w:rPr>
                <w:rFonts w:ascii="Calibri" w:hAnsi="Calibri"/>
                <w:sz w:val="22"/>
              </w:rPr>
              <w:t>5,800</w:t>
            </w:r>
          </w:p>
        </w:tc>
        <w:tc>
          <w:tcPr>
            <w:tcW w:type="dxa" w:w="1234"/>
          </w:tcPr>
          <w:p>
            <w:r>
              <w:rPr>
                <w:rFonts w:ascii="Calibri" w:hAnsi="Calibri"/>
                <w:sz w:val="22"/>
              </w:rPr>
              <w:t>6,200</w:t>
            </w:r>
          </w:p>
        </w:tc>
        <w:tc>
          <w:tcPr>
            <w:tcW w:type="dxa" w:w="1234"/>
          </w:tcPr>
          <w:p>
            <w:r>
              <w:rPr>
                <w:rFonts w:ascii="Calibri" w:hAnsi="Calibri"/>
                <w:sz w:val="22"/>
              </w:rPr>
              <w:t>8,817</w:t>
            </w:r>
          </w:p>
        </w:tc>
        <w:tc>
          <w:tcPr>
            <w:tcW w:type="dxa" w:w="1234"/>
          </w:tcPr>
          <w:p>
            <w:r>
              <w:rPr>
                <w:rFonts w:ascii="Calibri" w:hAnsi="Calibri"/>
                <w:sz w:val="22"/>
              </w:rPr>
              <w:t>+42.2% YoY</w:t>
            </w:r>
          </w:p>
        </w:tc>
        <w:tc>
          <w:tcPr>
            <w:tcW w:type="dxa" w:w="1234"/>
          </w:tcPr>
          <w:p>
            <w:r>
              <w:rPr>
                <w:rFonts w:ascii="Calibri" w:hAnsi="Calibri"/>
                <w:sz w:val="22"/>
              </w:rPr>
              <w:t>No specific quarterly guidance</w:t>
            </w:r>
          </w:p>
        </w:tc>
        <w:tc>
          <w:tcPr>
            <w:tcW w:type="dxa" w:w="1234"/>
          </w:tcPr>
          <w:p>
            <w:r>
              <w:rPr>
                <w:rFonts w:ascii="Calibri" w:hAnsi="Calibri"/>
                <w:sz w:val="22"/>
              </w:rPr>
              <w:t>N/A</w:t>
            </w:r>
          </w:p>
        </w:tc>
      </w:tr>
    </w:tbl>
    <w:p>
      <w:r>
        <w:rPr>
          <w:rFonts w:ascii="Calibri" w:hAnsi="Calibri"/>
          <w:i/>
          <w:color w:val="525866"/>
          <w:sz w:val="22"/>
        </w:rPr>
        <w:t>Source: Visible Alpha Consensus and Actuals Data. All consensus figures as of July 28, 2026.</w:t>
      </w:r>
    </w:p>
    <w:p>
      <w:pPr>
        <w:pStyle w:val="Heading3"/>
      </w:pPr>
      <w:r>
        <w:rPr>
          <w:rFonts w:ascii="Calibri" w:hAnsi="Calibri"/>
          <w:b/>
          <w:color w:val="3B4259"/>
          <w:sz w:val="24"/>
        </w:rPr>
        <w:t>Table 2 — Beat/Miss History (Last 8 Quarters)</w:t>
      </w:r>
    </w:p>
    <w:p>
      <w:r>
        <w:rPr>
          <w:rFonts w:ascii="Calibri" w:hAnsi="Calibri"/>
          <w:b/>
          <w:color w:val="525866"/>
          <w:sz w:val="22"/>
        </w:rPr>
        <w:t>Top KPI #1: Revenue | Top KPI #2: AFFO per Share</w:t>
      </w:r>
    </w:p>
    <w:tbl>
      <w:tblPr>
        <w:tblStyle w:val="TableGrid"/>
        <w:tblW w:type="auto" w:w="0"/>
        <w:tblLook w:firstColumn="1" w:firstRow="1" w:lastColumn="0" w:lastRow="0" w:noHBand="0" w:noVBand="1" w:val="04A0"/>
      </w:tblPr>
      <w:tblGrid>
        <w:gridCol w:w="1080"/>
        <w:gridCol w:w="1080"/>
        <w:gridCol w:w="1080"/>
        <w:gridCol w:w="1080"/>
        <w:gridCol w:w="1080"/>
        <w:gridCol w:w="1080"/>
        <w:gridCol w:w="1080"/>
        <w:gridCol w:w="1080"/>
      </w:tblGrid>
      <w:tr>
        <w:tc>
          <w:tcPr>
            <w:tcW w:type="dxa" w:w="1080"/>
            <w:shd w:val="clear" w:color="auto" w:fill="3B4259"/>
          </w:tcPr>
          <w:p>
            <w:r>
              <w:rPr>
                <w:rFonts w:ascii="Calibri" w:hAnsi="Calibri"/>
                <w:b/>
                <w:color w:val="FFFFFF"/>
                <w:sz w:val="22"/>
              </w:rPr>
              <w:t>Quarter</w:t>
            </w:r>
          </w:p>
        </w:tc>
        <w:tc>
          <w:tcPr>
            <w:tcW w:type="dxa" w:w="1080"/>
            <w:shd w:val="clear" w:color="auto" w:fill="3B4259"/>
          </w:tcPr>
          <w:p>
            <w:r>
              <w:rPr>
                <w:rFonts w:ascii="Calibri" w:hAnsi="Calibri"/>
                <w:b/>
                <w:color w:val="FFFFFF"/>
                <w:sz w:val="22"/>
              </w:rPr>
              <w:t>Revenue Reported ($M)</w:t>
            </w:r>
          </w:p>
        </w:tc>
        <w:tc>
          <w:tcPr>
            <w:tcW w:type="dxa" w:w="1080"/>
            <w:shd w:val="clear" w:color="auto" w:fill="3B4259"/>
          </w:tcPr>
          <w:p>
            <w:r>
              <w:rPr>
                <w:rFonts w:ascii="Calibri" w:hAnsi="Calibri"/>
                <w:b/>
                <w:color w:val="FFFFFF"/>
                <w:sz w:val="22"/>
              </w:rPr>
              <w:t>Revenue Consensus ($M)</w:t>
            </w:r>
          </w:p>
        </w:tc>
        <w:tc>
          <w:tcPr>
            <w:tcW w:type="dxa" w:w="1080"/>
            <w:shd w:val="clear" w:color="auto" w:fill="3B4259"/>
          </w:tcPr>
          <w:p>
            <w:r>
              <w:rPr>
                <w:rFonts w:ascii="Calibri" w:hAnsi="Calibri"/>
                <w:b/>
                <w:color w:val="FFFFFF"/>
                <w:sz w:val="22"/>
              </w:rPr>
              <w:t>Rev Surprise %</w:t>
            </w:r>
          </w:p>
        </w:tc>
        <w:tc>
          <w:tcPr>
            <w:tcW w:type="dxa" w:w="1080"/>
            <w:shd w:val="clear" w:color="auto" w:fill="3B4259"/>
          </w:tcPr>
          <w:p>
            <w:r>
              <w:rPr>
                <w:rFonts w:ascii="Calibri" w:hAnsi="Calibri"/>
                <w:b/>
                <w:color w:val="FFFFFF"/>
                <w:sz w:val="22"/>
              </w:rPr>
              <w:t>AFFO/Share Reported ($)</w:t>
            </w:r>
          </w:p>
        </w:tc>
        <w:tc>
          <w:tcPr>
            <w:tcW w:type="dxa" w:w="1080"/>
            <w:shd w:val="clear" w:color="auto" w:fill="3B4259"/>
          </w:tcPr>
          <w:p>
            <w:r>
              <w:rPr>
                <w:rFonts w:ascii="Calibri" w:hAnsi="Calibri"/>
                <w:b/>
                <w:color w:val="FFFFFF"/>
                <w:sz w:val="22"/>
              </w:rPr>
              <w:t>AFFO/Share Consensus ($)</w:t>
            </w:r>
          </w:p>
        </w:tc>
        <w:tc>
          <w:tcPr>
            <w:tcW w:type="dxa" w:w="1080"/>
            <w:shd w:val="clear" w:color="auto" w:fill="3B4259"/>
          </w:tcPr>
          <w:p>
            <w:r>
              <w:rPr>
                <w:rFonts w:ascii="Calibri" w:hAnsi="Calibri"/>
                <w:b/>
                <w:color w:val="FFFFFF"/>
                <w:sz w:val="22"/>
              </w:rPr>
              <w:t>AFFO Surprise %</w:t>
            </w:r>
          </w:p>
        </w:tc>
        <w:tc>
          <w:tcPr>
            <w:tcW w:type="dxa" w:w="1080"/>
            <w:shd w:val="clear" w:color="auto" w:fill="3B4259"/>
          </w:tcPr>
          <w:p>
            <w:r>
              <w:rPr>
                <w:rFonts w:ascii="Calibri" w:hAnsi="Calibri"/>
                <w:b/>
                <w:color w:val="FFFFFF"/>
                <w:sz w:val="22"/>
              </w:rPr>
              <w:t>Result</w:t>
            </w:r>
          </w:p>
        </w:tc>
      </w:tr>
      <w:tr>
        <w:tc>
          <w:tcPr>
            <w:tcW w:type="dxa" w:w="1080"/>
          </w:tcPr>
          <w:p>
            <w:r>
              <w:rPr>
                <w:rFonts w:ascii="Calibri" w:hAnsi="Calibri"/>
                <w:sz w:val="22"/>
              </w:rPr>
              <w:t>Q1 2026</w:t>
            </w:r>
          </w:p>
        </w:tc>
        <w:tc>
          <w:tcPr>
            <w:tcW w:type="dxa" w:w="1080"/>
          </w:tcPr>
          <w:p>
            <w:r>
              <w:rPr>
                <w:rFonts w:ascii="Calibri" w:hAnsi="Calibri"/>
                <w:sz w:val="22"/>
              </w:rPr>
              <w:t>$2,444M</w:t>
            </w:r>
          </w:p>
        </w:tc>
        <w:tc>
          <w:tcPr>
            <w:tcW w:type="dxa" w:w="1080"/>
          </w:tcPr>
          <w:p>
            <w:r>
              <w:rPr>
                <w:rFonts w:ascii="Calibri" w:hAnsi="Calibri"/>
                <w:sz w:val="22"/>
              </w:rPr>
              <w:t>$2,516M</w:t>
            </w:r>
          </w:p>
        </w:tc>
        <w:tc>
          <w:tcPr>
            <w:tcW w:type="dxa" w:w="1080"/>
          </w:tcPr>
          <w:p>
            <w:r>
              <w:rPr>
                <w:rFonts w:ascii="Calibri" w:hAnsi="Calibri"/>
                <w:b/>
                <w:color w:val="E5484D"/>
                <w:sz w:val="22"/>
              </w:rPr>
              <w:t>−2.9%</w:t>
            </w:r>
          </w:p>
        </w:tc>
        <w:tc>
          <w:tcPr>
            <w:tcW w:type="dxa" w:w="1080"/>
          </w:tcPr>
          <w:p>
            <w:r>
              <w:rPr>
                <w:rFonts w:ascii="Calibri" w:hAnsi="Calibri"/>
                <w:sz w:val="22"/>
              </w:rPr>
              <w:t>$10.79</w:t>
            </w:r>
          </w:p>
        </w:tc>
        <w:tc>
          <w:tcPr>
            <w:tcW w:type="dxa" w:w="1080"/>
          </w:tcPr>
          <w:p>
            <w:r>
              <w:rPr>
                <w:rFonts w:ascii="Calibri" w:hAnsi="Calibri"/>
                <w:sz w:val="22"/>
              </w:rPr>
              <w:t>$11.04</w:t>
            </w:r>
          </w:p>
        </w:tc>
        <w:tc>
          <w:tcPr>
            <w:tcW w:type="dxa" w:w="1080"/>
          </w:tcPr>
          <w:p>
            <w:r>
              <w:rPr>
                <w:rFonts w:ascii="Calibri" w:hAnsi="Calibri"/>
                <w:b/>
                <w:color w:val="E5484D"/>
                <w:sz w:val="22"/>
              </w:rPr>
              <w:t>−2.3%</w:t>
            </w:r>
          </w:p>
        </w:tc>
        <w:tc>
          <w:tcPr>
            <w:tcW w:type="dxa" w:w="1080"/>
          </w:tcPr>
          <w:p>
            <w:r>
              <w:rPr>
                <w:rFonts w:ascii="Calibri" w:hAnsi="Calibri"/>
                <w:sz w:val="22"/>
              </w:rPr>
              <w:t>Miss (Hampton timing)</w:t>
            </w:r>
          </w:p>
        </w:tc>
      </w:tr>
      <w:tr>
        <w:tc>
          <w:tcPr>
            <w:tcW w:type="dxa" w:w="1080"/>
          </w:tcPr>
          <w:p>
            <w:r>
              <w:rPr>
                <w:rFonts w:ascii="Calibri" w:hAnsi="Calibri"/>
                <w:sz w:val="22"/>
              </w:rPr>
              <w:t>Q4 2025</w:t>
            </w:r>
          </w:p>
        </w:tc>
        <w:tc>
          <w:tcPr>
            <w:tcW w:type="dxa" w:w="1080"/>
          </w:tcPr>
          <w:p>
            <w:r>
              <w:rPr>
                <w:rFonts w:ascii="Calibri" w:hAnsi="Calibri"/>
                <w:sz w:val="22"/>
              </w:rPr>
              <w:t>$2,420M</w:t>
            </w:r>
          </w:p>
        </w:tc>
        <w:tc>
          <w:tcPr>
            <w:tcW w:type="dxa" w:w="1080"/>
          </w:tcPr>
          <w:p>
            <w:r>
              <w:rPr>
                <w:rFonts w:ascii="Calibri" w:hAnsi="Calibri"/>
                <w:sz w:val="22"/>
              </w:rPr>
              <w:t>$2,456M</w:t>
            </w:r>
          </w:p>
        </w:tc>
        <w:tc>
          <w:tcPr>
            <w:tcW w:type="dxa" w:w="1080"/>
          </w:tcPr>
          <w:p>
            <w:r>
              <w:rPr>
                <w:rFonts w:ascii="Calibri" w:hAnsi="Calibri"/>
                <w:b/>
                <w:color w:val="E5484D"/>
                <w:sz w:val="22"/>
              </w:rPr>
              <w:t>−1.5%</w:t>
            </w:r>
          </w:p>
        </w:tc>
        <w:tc>
          <w:tcPr>
            <w:tcW w:type="dxa" w:w="1080"/>
          </w:tcPr>
          <w:p>
            <w:r>
              <w:rPr>
                <w:rFonts w:ascii="Calibri" w:hAnsi="Calibri"/>
                <w:sz w:val="22"/>
              </w:rPr>
              <w:t>$8.91</w:t>
            </w:r>
          </w:p>
        </w:tc>
        <w:tc>
          <w:tcPr>
            <w:tcW w:type="dxa" w:w="1080"/>
          </w:tcPr>
          <w:p>
            <w:r>
              <w:rPr>
                <w:rFonts w:ascii="Calibri" w:hAnsi="Calibri"/>
                <w:sz w:val="22"/>
              </w:rPr>
              <w:t>$9.12</w:t>
            </w:r>
          </w:p>
        </w:tc>
        <w:tc>
          <w:tcPr>
            <w:tcW w:type="dxa" w:w="1080"/>
          </w:tcPr>
          <w:p>
            <w:r>
              <w:rPr>
                <w:rFonts w:ascii="Calibri" w:hAnsi="Calibri"/>
                <w:b/>
                <w:color w:val="E5484D"/>
                <w:sz w:val="22"/>
              </w:rPr>
              <w:t>−2.3%</w:t>
            </w:r>
          </w:p>
        </w:tc>
        <w:tc>
          <w:tcPr>
            <w:tcW w:type="dxa" w:w="1080"/>
          </w:tcPr>
          <w:p>
            <w:r>
              <w:rPr>
                <w:rFonts w:ascii="Calibri" w:hAnsi="Calibri"/>
                <w:sz w:val="22"/>
              </w:rPr>
              <w:t>Miss</w:t>
            </w:r>
          </w:p>
        </w:tc>
      </w:tr>
      <w:tr>
        <w:tc>
          <w:tcPr>
            <w:tcW w:type="dxa" w:w="1080"/>
          </w:tcPr>
          <w:p>
            <w:r>
              <w:rPr>
                <w:rFonts w:ascii="Calibri" w:hAnsi="Calibri"/>
                <w:sz w:val="22"/>
              </w:rPr>
              <w:t>Q3 2025</w:t>
            </w:r>
          </w:p>
        </w:tc>
        <w:tc>
          <w:tcPr>
            <w:tcW w:type="dxa" w:w="1080"/>
          </w:tcPr>
          <w:p>
            <w:r>
              <w:rPr>
                <w:rFonts w:ascii="Calibri" w:hAnsi="Calibri"/>
                <w:sz w:val="22"/>
              </w:rPr>
              <w:t>$2,316M</w:t>
            </w:r>
          </w:p>
        </w:tc>
        <w:tc>
          <w:tcPr>
            <w:tcW w:type="dxa" w:w="1080"/>
          </w:tcPr>
          <w:p>
            <w:r>
              <w:rPr>
                <w:rFonts w:ascii="Calibri" w:hAnsi="Calibri"/>
                <w:sz w:val="22"/>
              </w:rPr>
              <w:t>$2,327M</w:t>
            </w:r>
          </w:p>
        </w:tc>
        <w:tc>
          <w:tcPr>
            <w:tcW w:type="dxa" w:w="1080"/>
          </w:tcPr>
          <w:p>
            <w:r>
              <w:rPr>
                <w:rFonts w:ascii="Calibri" w:hAnsi="Calibri"/>
                <w:b/>
                <w:color w:val="E5484D"/>
                <w:sz w:val="22"/>
              </w:rPr>
              <w:t>−0.5%</w:t>
            </w:r>
          </w:p>
        </w:tc>
        <w:tc>
          <w:tcPr>
            <w:tcW w:type="dxa" w:w="1080"/>
          </w:tcPr>
          <w:p>
            <w:r>
              <w:rPr>
                <w:rFonts w:ascii="Calibri" w:hAnsi="Calibri"/>
                <w:sz w:val="22"/>
              </w:rPr>
              <w:t>$9.83</w:t>
            </w:r>
          </w:p>
        </w:tc>
        <w:tc>
          <w:tcPr>
            <w:tcW w:type="dxa" w:w="1080"/>
          </w:tcPr>
          <w:p>
            <w:r>
              <w:rPr>
                <w:rFonts w:ascii="Calibri" w:hAnsi="Calibri"/>
                <w:sz w:val="22"/>
              </w:rPr>
              <w:t>$9.32</w:t>
            </w:r>
          </w:p>
        </w:tc>
        <w:tc>
          <w:tcPr>
            <w:tcW w:type="dxa" w:w="1080"/>
          </w:tcPr>
          <w:p>
            <w:r>
              <w:rPr>
                <w:rFonts w:ascii="Calibri" w:hAnsi="Calibri"/>
                <w:b/>
                <w:color w:val="30A46C"/>
                <w:sz w:val="22"/>
              </w:rPr>
              <w:t>+5.5%</w:t>
            </w:r>
          </w:p>
        </w:tc>
        <w:tc>
          <w:tcPr>
            <w:tcW w:type="dxa" w:w="1080"/>
          </w:tcPr>
          <w:p>
            <w:r>
              <w:rPr>
                <w:rFonts w:ascii="Calibri" w:hAnsi="Calibri"/>
                <w:sz w:val="22"/>
              </w:rPr>
              <w:t>Mixed</w:t>
            </w:r>
          </w:p>
        </w:tc>
      </w:tr>
      <w:tr>
        <w:tc>
          <w:tcPr>
            <w:tcW w:type="dxa" w:w="1080"/>
          </w:tcPr>
          <w:p>
            <w:r>
              <w:rPr>
                <w:rFonts w:ascii="Calibri" w:hAnsi="Calibri"/>
                <w:sz w:val="22"/>
              </w:rPr>
              <w:t>Q2 2025</w:t>
            </w:r>
          </w:p>
        </w:tc>
        <w:tc>
          <w:tcPr>
            <w:tcW w:type="dxa" w:w="1080"/>
          </w:tcPr>
          <w:p>
            <w:r>
              <w:rPr>
                <w:rFonts w:ascii="Calibri" w:hAnsi="Calibri"/>
                <w:sz w:val="22"/>
              </w:rPr>
              <w:t>$2,256M</w:t>
            </w:r>
          </w:p>
        </w:tc>
        <w:tc>
          <w:tcPr>
            <w:tcW w:type="dxa" w:w="1080"/>
          </w:tcPr>
          <w:p>
            <w:r>
              <w:rPr>
                <w:rFonts w:ascii="Calibri" w:hAnsi="Calibri"/>
                <w:sz w:val="22"/>
              </w:rPr>
              <w:t>$2,257M</w:t>
            </w:r>
          </w:p>
        </w:tc>
        <w:tc>
          <w:tcPr>
            <w:tcW w:type="dxa" w:w="1080"/>
          </w:tcPr>
          <w:p>
            <w:r>
              <w:rPr>
                <w:rFonts w:ascii="Calibri" w:hAnsi="Calibri"/>
                <w:sz w:val="22"/>
              </w:rPr>
              <w:t>−0.1%</w:t>
            </w:r>
          </w:p>
        </w:tc>
        <w:tc>
          <w:tcPr>
            <w:tcW w:type="dxa" w:w="1080"/>
          </w:tcPr>
          <w:p>
            <w:r>
              <w:rPr>
                <w:rFonts w:ascii="Calibri" w:hAnsi="Calibri"/>
                <w:sz w:val="22"/>
              </w:rPr>
              <w:t>$9.91</w:t>
            </w:r>
          </w:p>
        </w:tc>
        <w:tc>
          <w:tcPr>
            <w:tcW w:type="dxa" w:w="1080"/>
          </w:tcPr>
          <w:p>
            <w:r>
              <w:rPr>
                <w:rFonts w:ascii="Calibri" w:hAnsi="Calibri"/>
                <w:sz w:val="22"/>
              </w:rPr>
              <w:t>$9.33</w:t>
            </w:r>
          </w:p>
        </w:tc>
        <w:tc>
          <w:tcPr>
            <w:tcW w:type="dxa" w:w="1080"/>
          </w:tcPr>
          <w:p>
            <w:r>
              <w:rPr>
                <w:rFonts w:ascii="Calibri" w:hAnsi="Calibri"/>
                <w:b/>
                <w:color w:val="30A46C"/>
                <w:sz w:val="22"/>
              </w:rPr>
              <w:t>+6.2%</w:t>
            </w:r>
          </w:p>
        </w:tc>
        <w:tc>
          <w:tcPr>
            <w:tcW w:type="dxa" w:w="1080"/>
          </w:tcPr>
          <w:p>
            <w:r>
              <w:rPr>
                <w:rFonts w:ascii="Calibri" w:hAnsi="Calibri"/>
                <w:sz w:val="22"/>
              </w:rPr>
              <w:t>Mixed</w:t>
            </w:r>
          </w:p>
        </w:tc>
      </w:tr>
      <w:tr>
        <w:tc>
          <w:tcPr>
            <w:tcW w:type="dxa" w:w="1080"/>
          </w:tcPr>
          <w:p>
            <w:r>
              <w:rPr>
                <w:rFonts w:ascii="Calibri" w:hAnsi="Calibri"/>
                <w:sz w:val="22"/>
              </w:rPr>
              <w:t>Q1 2025</w:t>
            </w:r>
          </w:p>
        </w:tc>
        <w:tc>
          <w:tcPr>
            <w:tcW w:type="dxa" w:w="1080"/>
          </w:tcPr>
          <w:p>
            <w:r>
              <w:rPr>
                <w:rFonts w:ascii="Calibri" w:hAnsi="Calibri"/>
                <w:sz w:val="22"/>
              </w:rPr>
              <w:t>$2,225M</w:t>
            </w:r>
          </w:p>
        </w:tc>
        <w:tc>
          <w:tcPr>
            <w:tcW w:type="dxa" w:w="1080"/>
          </w:tcPr>
          <w:p>
            <w:r>
              <w:rPr>
                <w:rFonts w:ascii="Calibri" w:hAnsi="Calibri"/>
                <w:sz w:val="22"/>
              </w:rPr>
              <w:t>$2,221M</w:t>
            </w:r>
          </w:p>
        </w:tc>
        <w:tc>
          <w:tcPr>
            <w:tcW w:type="dxa" w:w="1080"/>
          </w:tcPr>
          <w:p>
            <w:r>
              <w:rPr>
                <w:rFonts w:ascii="Calibri" w:hAnsi="Calibri"/>
                <w:b/>
                <w:color w:val="30A46C"/>
                <w:sz w:val="22"/>
              </w:rPr>
              <w:t>+0.2%</w:t>
            </w:r>
          </w:p>
        </w:tc>
        <w:tc>
          <w:tcPr>
            <w:tcW w:type="dxa" w:w="1080"/>
          </w:tcPr>
          <w:p>
            <w:r>
              <w:rPr>
                <w:rFonts w:ascii="Calibri" w:hAnsi="Calibri"/>
                <w:sz w:val="22"/>
              </w:rPr>
              <w:t>$9.67</w:t>
            </w:r>
          </w:p>
        </w:tc>
        <w:tc>
          <w:tcPr>
            <w:tcW w:type="dxa" w:w="1080"/>
          </w:tcPr>
          <w:p>
            <w:r>
              <w:rPr>
                <w:rFonts w:ascii="Calibri" w:hAnsi="Calibri"/>
                <w:sz w:val="22"/>
              </w:rPr>
              <w:t>$9.02</w:t>
            </w:r>
          </w:p>
        </w:tc>
        <w:tc>
          <w:tcPr>
            <w:tcW w:type="dxa" w:w="1080"/>
          </w:tcPr>
          <w:p>
            <w:r>
              <w:rPr>
                <w:rFonts w:ascii="Calibri" w:hAnsi="Calibri"/>
                <w:b/>
                <w:color w:val="30A46C"/>
                <w:sz w:val="22"/>
              </w:rPr>
              <w:t>+7.2%</w:t>
            </w:r>
          </w:p>
        </w:tc>
        <w:tc>
          <w:tcPr>
            <w:tcW w:type="dxa" w:w="1080"/>
          </w:tcPr>
          <w:p>
            <w:r>
              <w:rPr>
                <w:rFonts w:ascii="Calibri" w:hAnsi="Calibri"/>
                <w:sz w:val="22"/>
              </w:rPr>
              <w:t>Beat</w:t>
            </w:r>
          </w:p>
        </w:tc>
      </w:tr>
      <w:tr>
        <w:tc>
          <w:tcPr>
            <w:tcW w:type="dxa" w:w="1080"/>
          </w:tcPr>
          <w:p>
            <w:r>
              <w:rPr>
                <w:rFonts w:ascii="Calibri" w:hAnsi="Calibri"/>
                <w:sz w:val="22"/>
              </w:rPr>
              <w:t>Q4 2024</w:t>
            </w:r>
          </w:p>
        </w:tc>
        <w:tc>
          <w:tcPr>
            <w:tcW w:type="dxa" w:w="1080"/>
          </w:tcPr>
          <w:p>
            <w:r>
              <w:rPr>
                <w:rFonts w:ascii="Calibri" w:hAnsi="Calibri"/>
                <w:sz w:val="22"/>
              </w:rPr>
              <w:t>$2,261M</w:t>
            </w:r>
          </w:p>
        </w:tc>
        <w:tc>
          <w:tcPr>
            <w:tcW w:type="dxa" w:w="1080"/>
          </w:tcPr>
          <w:p>
            <w:r>
              <w:rPr>
                <w:rFonts w:ascii="Calibri" w:hAnsi="Calibri"/>
                <w:sz w:val="22"/>
              </w:rPr>
              <w:t>$2,270M</w:t>
            </w:r>
          </w:p>
        </w:tc>
        <w:tc>
          <w:tcPr>
            <w:tcW w:type="dxa" w:w="1080"/>
          </w:tcPr>
          <w:p>
            <w:r>
              <w:rPr>
                <w:rFonts w:ascii="Calibri" w:hAnsi="Calibri"/>
                <w:sz w:val="22"/>
              </w:rPr>
              <w:t>−0.4%</w:t>
            </w:r>
          </w:p>
        </w:tc>
        <w:tc>
          <w:tcPr>
            <w:tcW w:type="dxa" w:w="1080"/>
          </w:tcPr>
          <w:p>
            <w:r>
              <w:rPr>
                <w:rFonts w:ascii="Calibri" w:hAnsi="Calibri"/>
                <w:sz w:val="22"/>
              </w:rPr>
              <w:t>$7.92</w:t>
            </w:r>
          </w:p>
        </w:tc>
        <w:tc>
          <w:tcPr>
            <w:tcW w:type="dxa" w:w="1080"/>
          </w:tcPr>
          <w:p>
            <w:r>
              <w:rPr>
                <w:rFonts w:ascii="Calibri" w:hAnsi="Calibri"/>
                <w:sz w:val="22"/>
              </w:rPr>
              <w:t>$8.05</w:t>
            </w:r>
          </w:p>
        </w:tc>
        <w:tc>
          <w:tcPr>
            <w:tcW w:type="dxa" w:w="1080"/>
          </w:tcPr>
          <w:p>
            <w:r>
              <w:rPr>
                <w:rFonts w:ascii="Calibri" w:hAnsi="Calibri"/>
                <w:b/>
                <w:color w:val="E5484D"/>
                <w:sz w:val="22"/>
              </w:rPr>
              <w:t>−1.6%</w:t>
            </w:r>
          </w:p>
        </w:tc>
        <w:tc>
          <w:tcPr>
            <w:tcW w:type="dxa" w:w="1080"/>
          </w:tcPr>
          <w:p>
            <w:r>
              <w:rPr>
                <w:rFonts w:ascii="Calibri" w:hAnsi="Calibri"/>
                <w:sz w:val="22"/>
              </w:rPr>
              <w:t>Miss</w:t>
            </w:r>
          </w:p>
        </w:tc>
      </w:tr>
      <w:tr>
        <w:tc>
          <w:tcPr>
            <w:tcW w:type="dxa" w:w="1080"/>
          </w:tcPr>
          <w:p>
            <w:r>
              <w:rPr>
                <w:rFonts w:ascii="Calibri" w:hAnsi="Calibri"/>
                <w:sz w:val="22"/>
              </w:rPr>
              <w:t>Q3 2024</w:t>
            </w:r>
          </w:p>
        </w:tc>
        <w:tc>
          <w:tcPr>
            <w:tcW w:type="dxa" w:w="1080"/>
          </w:tcPr>
          <w:p>
            <w:r>
              <w:rPr>
                <w:rFonts w:ascii="Calibri" w:hAnsi="Calibri"/>
                <w:sz w:val="22"/>
              </w:rPr>
              <w:t>$2,201M</w:t>
            </w:r>
          </w:p>
        </w:tc>
        <w:tc>
          <w:tcPr>
            <w:tcW w:type="dxa" w:w="1080"/>
          </w:tcPr>
          <w:p>
            <w:r>
              <w:rPr>
                <w:rFonts w:ascii="Calibri" w:hAnsi="Calibri"/>
                <w:sz w:val="22"/>
              </w:rPr>
              <w:t>$2,203M</w:t>
            </w:r>
          </w:p>
        </w:tc>
        <w:tc>
          <w:tcPr>
            <w:tcW w:type="dxa" w:w="1080"/>
          </w:tcPr>
          <w:p>
            <w:r>
              <w:rPr>
                <w:rFonts w:ascii="Calibri" w:hAnsi="Calibri"/>
                <w:sz w:val="22"/>
              </w:rPr>
              <w:t>−0.1%</w:t>
            </w:r>
          </w:p>
        </w:tc>
        <w:tc>
          <w:tcPr>
            <w:tcW w:type="dxa" w:w="1080"/>
          </w:tcPr>
          <w:p>
            <w:r>
              <w:rPr>
                <w:rFonts w:ascii="Calibri" w:hAnsi="Calibri"/>
                <w:sz w:val="22"/>
              </w:rPr>
              <w:t>$9.05</w:t>
            </w:r>
          </w:p>
        </w:tc>
        <w:tc>
          <w:tcPr>
            <w:tcW w:type="dxa" w:w="1080"/>
          </w:tcPr>
          <w:p>
            <w:r>
              <w:rPr>
                <w:rFonts w:ascii="Calibri" w:hAnsi="Calibri"/>
                <w:sz w:val="22"/>
              </w:rPr>
              <w:t>$8.69</w:t>
            </w:r>
          </w:p>
        </w:tc>
        <w:tc>
          <w:tcPr>
            <w:tcW w:type="dxa" w:w="1080"/>
          </w:tcPr>
          <w:p>
            <w:r>
              <w:rPr>
                <w:rFonts w:ascii="Calibri" w:hAnsi="Calibri"/>
                <w:b/>
                <w:color w:val="30A46C"/>
                <w:sz w:val="22"/>
              </w:rPr>
              <w:t>+4.1%</w:t>
            </w:r>
          </w:p>
        </w:tc>
        <w:tc>
          <w:tcPr>
            <w:tcW w:type="dxa" w:w="1080"/>
          </w:tcPr>
          <w:p>
            <w:r>
              <w:rPr>
                <w:rFonts w:ascii="Calibri" w:hAnsi="Calibri"/>
                <w:sz w:val="22"/>
              </w:rPr>
              <w:t>Mixed</w:t>
            </w:r>
          </w:p>
        </w:tc>
      </w:tr>
      <w:tr>
        <w:tc>
          <w:tcPr>
            <w:tcW w:type="dxa" w:w="1080"/>
          </w:tcPr>
          <w:p>
            <w:r>
              <w:rPr>
                <w:rFonts w:ascii="Calibri" w:hAnsi="Calibri"/>
                <w:sz w:val="22"/>
              </w:rPr>
              <w:t>Q2 2024</w:t>
            </w:r>
          </w:p>
        </w:tc>
        <w:tc>
          <w:tcPr>
            <w:tcW w:type="dxa" w:w="1080"/>
          </w:tcPr>
          <w:p>
            <w:r>
              <w:rPr>
                <w:rFonts w:ascii="Calibri" w:hAnsi="Calibri"/>
                <w:sz w:val="22"/>
              </w:rPr>
              <w:t>$2,159M</w:t>
            </w:r>
          </w:p>
        </w:tc>
        <w:tc>
          <w:tcPr>
            <w:tcW w:type="dxa" w:w="1080"/>
          </w:tcPr>
          <w:p>
            <w:r>
              <w:rPr>
                <w:rFonts w:ascii="Calibri" w:hAnsi="Calibri"/>
                <w:sz w:val="22"/>
              </w:rPr>
              <w:t>$2,158M</w:t>
            </w:r>
          </w:p>
        </w:tc>
        <w:tc>
          <w:tcPr>
            <w:tcW w:type="dxa" w:w="1080"/>
          </w:tcPr>
          <w:p>
            <w:r>
              <w:rPr>
                <w:rFonts w:ascii="Calibri" w:hAnsi="Calibri"/>
                <w:b/>
                <w:color w:val="30A46C"/>
                <w:sz w:val="22"/>
              </w:rPr>
              <w:t>+0.1%</w:t>
            </w:r>
          </w:p>
        </w:tc>
        <w:tc>
          <w:tcPr>
            <w:tcW w:type="dxa" w:w="1080"/>
          </w:tcPr>
          <w:p>
            <w:r>
              <w:rPr>
                <w:rFonts w:ascii="Calibri" w:hAnsi="Calibri"/>
                <w:sz w:val="22"/>
              </w:rPr>
              <w:t>$9.22</w:t>
            </w:r>
          </w:p>
        </w:tc>
        <w:tc>
          <w:tcPr>
            <w:tcW w:type="dxa" w:w="1080"/>
          </w:tcPr>
          <w:p>
            <w:r>
              <w:rPr>
                <w:rFonts w:ascii="Calibri" w:hAnsi="Calibri"/>
                <w:sz w:val="22"/>
              </w:rPr>
              <w:t>$8.82</w:t>
            </w:r>
          </w:p>
        </w:tc>
        <w:tc>
          <w:tcPr>
            <w:tcW w:type="dxa" w:w="1080"/>
          </w:tcPr>
          <w:p>
            <w:r>
              <w:rPr>
                <w:rFonts w:ascii="Calibri" w:hAnsi="Calibri"/>
                <w:b/>
                <w:color w:val="30A46C"/>
                <w:sz w:val="22"/>
              </w:rPr>
              <w:t>+4.5%</w:t>
            </w:r>
          </w:p>
        </w:tc>
        <w:tc>
          <w:tcPr>
            <w:tcW w:type="dxa" w:w="1080"/>
          </w:tcPr>
          <w:p>
            <w:r>
              <w:rPr>
                <w:rFonts w:ascii="Calibri" w:hAnsi="Calibri"/>
                <w:sz w:val="22"/>
              </w:rPr>
              <w:t>Beat</w:t>
            </w:r>
          </w:p>
        </w:tc>
      </w:tr>
    </w:tbl>
    <w:p>
      <w:r>
        <w:rPr>
          <w:rFonts w:ascii="Calibri" w:hAnsi="Calibri"/>
          <w:b/>
          <w:color w:val="525866"/>
          <w:sz w:val="22"/>
        </w:rPr>
        <w:t xml:space="preserve">Pattern: </w:t>
      </w:r>
      <w:r>
        <w:rPr>
          <w:rFonts w:ascii="Calibri" w:hAnsi="Calibri"/>
          <w:color w:val="525866"/>
          <w:sz w:val="22"/>
        </w:rPr>
        <w:t>Revenue has been essentially in-line to slightly below consensus for 6 of the last 8 quarters, reflecting FX headwinds and timing items (notably the Hampton xScale lease shift in Q1 2026). AFFO/share has been the stronger beat metric, outperforming consensus in 5 of 8 quarters, often by 4–7%. The Q1 2026 headline miss on both metrics was driven by the Hampton lease timing shift; on an adjusted basis, results were above the midpoint of guidance. Source: Visible Alpha Consensus and Actuals Data.</w:t>
      </w:r>
    </w:p>
    <w:p>
      <w:r>
        <w:br w:type="page"/>
      </w:r>
    </w:p>
    <w:p>
      <w:pPr>
        <w:pStyle w:val="Heading2"/>
      </w:pPr>
      <w:r>
        <w:rPr>
          <w:rFonts w:ascii="Calibri" w:hAnsi="Calibri"/>
          <w:b/>
          <w:color w:val="3B4259"/>
          <w:sz w:val="28"/>
        </w:rPr>
        <w:t>3. Guidance &amp; Commentary Evolution</w:t>
      </w:r>
    </w:p>
    <w:p>
      <w:r>
        <w:rPr>
          <w:rFonts w:ascii="Calibri" w:hAnsi="Calibri"/>
          <w:b/>
          <w:color w:val="525866"/>
          <w:sz w:val="22"/>
        </w:rPr>
        <w:t xml:space="preserve">Key Takeaway: </w:t>
      </w:r>
      <w:r>
        <w:rPr>
          <w:rFonts w:ascii="Calibri" w:hAnsi="Calibri"/>
          <w:color w:val="525866"/>
          <w:sz w:val="22"/>
        </w:rPr>
        <w:t>Management raised full-year guidance across all key metrics at Q1 2026 earnings (April 29), and the CFO reaffirmed double-digit recurring revenue growth and full-year targets at the June 2026 Nareit conference — tone is confident and unchanged since the Q1 print.</w:t>
      </w:r>
    </w:p>
    <w:tbl>
      <w:tblPr>
        <w:tblStyle w:val="TableGrid"/>
        <w:tblW w:type="auto" w:w="0"/>
        <w:tblLook w:firstColumn="1" w:firstRow="1" w:lastColumn="0" w:lastRow="0" w:noHBand="0" w:noVBand="1" w:val="04A0"/>
      </w:tblPr>
      <w:tblGrid>
        <w:gridCol w:w="1728"/>
        <w:gridCol w:w="1728"/>
        <w:gridCol w:w="1728"/>
        <w:gridCol w:w="1728"/>
        <w:gridCol w:w="1728"/>
      </w:tblGrid>
      <w:tr>
        <w:tc>
          <w:tcPr>
            <w:tcW w:type="dxa" w:w="1728"/>
            <w:shd w:val="clear" w:color="auto" w:fill="3B4259"/>
          </w:tcPr>
          <w:p>
            <w:r>
              <w:rPr>
                <w:rFonts w:ascii="Calibri" w:hAnsi="Calibri"/>
                <w:b/>
                <w:color w:val="FFFFFF"/>
                <w:sz w:val="22"/>
              </w:rPr>
              <w:t>Metric</w:t>
            </w:r>
          </w:p>
        </w:tc>
        <w:tc>
          <w:tcPr>
            <w:tcW w:type="dxa" w:w="1728"/>
            <w:shd w:val="clear" w:color="auto" w:fill="3B4259"/>
          </w:tcPr>
          <w:p>
            <w:r>
              <w:rPr>
                <w:rFonts w:ascii="Calibri" w:hAnsi="Calibri"/>
                <w:b/>
                <w:color w:val="FFFFFF"/>
                <w:sz w:val="22"/>
              </w:rPr>
              <w:t>Initial Guidance (Q1 2026 Earnings Call, Apr 29)</w:t>
            </w:r>
          </w:p>
        </w:tc>
        <w:tc>
          <w:tcPr>
            <w:tcW w:type="dxa" w:w="1728"/>
            <w:shd w:val="clear" w:color="auto" w:fill="3B4259"/>
          </w:tcPr>
          <w:p>
            <w:r>
              <w:rPr>
                <w:rFonts w:ascii="Calibri" w:hAnsi="Calibri"/>
                <w:b/>
                <w:color w:val="FFFFFF"/>
                <w:sz w:val="22"/>
              </w:rPr>
              <w:t>Revised Guidance</w:t>
            </w:r>
          </w:p>
        </w:tc>
        <w:tc>
          <w:tcPr>
            <w:tcW w:type="dxa" w:w="1728"/>
            <w:shd w:val="clear" w:color="auto" w:fill="3B4259"/>
          </w:tcPr>
          <w:p>
            <w:r>
              <w:rPr>
                <w:rFonts w:ascii="Calibri" w:hAnsi="Calibri"/>
                <w:b/>
                <w:color w:val="FFFFFF"/>
                <w:sz w:val="22"/>
              </w:rPr>
              <w:t>Current Consensus</w:t>
            </w:r>
          </w:p>
        </w:tc>
        <w:tc>
          <w:tcPr>
            <w:tcW w:type="dxa" w:w="1728"/>
            <w:shd w:val="clear" w:color="auto" w:fill="3B4259"/>
          </w:tcPr>
          <w:p>
            <w:r>
              <w:rPr>
                <w:rFonts w:ascii="Calibri" w:hAnsi="Calibri"/>
                <w:b/>
                <w:color w:val="FFFFFF"/>
                <w:sz w:val="22"/>
              </w:rPr>
              <w:t>Note</w:t>
            </w:r>
          </w:p>
        </w:tc>
      </w:tr>
      <w:tr>
        <w:tc>
          <w:tcPr>
            <w:tcW w:type="dxa" w:w="1728"/>
          </w:tcPr>
          <w:p>
            <w:r>
              <w:rPr>
                <w:rFonts w:ascii="Calibri" w:hAnsi="Calibri"/>
                <w:sz w:val="22"/>
              </w:rPr>
              <w:t>FY2026 Total Revenue Growth</w:t>
            </w:r>
          </w:p>
        </w:tc>
        <w:tc>
          <w:tcPr>
            <w:tcW w:type="dxa" w:w="1728"/>
          </w:tcPr>
          <w:p>
            <w:r>
              <w:rPr>
                <w:rFonts w:ascii="Calibri" w:hAnsi="Calibri"/>
                <w:sz w:val="22"/>
              </w:rPr>
              <w:t>10–11% YoY (raised +100bps from prior guidance)</w:t>
            </w:r>
          </w:p>
        </w:tc>
        <w:tc>
          <w:tcPr>
            <w:tcW w:type="dxa" w:w="1728"/>
          </w:tcPr>
          <w:p>
            <w:r>
              <w:rPr>
                <w:rFonts w:ascii="Calibri" w:hAnsi="Calibri"/>
                <w:sz w:val="22"/>
              </w:rPr>
              <w:t>—</w:t>
            </w:r>
          </w:p>
        </w:tc>
        <w:tc>
          <w:tcPr>
            <w:tcW w:type="dxa" w:w="1728"/>
          </w:tcPr>
          <w:p>
            <w:r>
              <w:rPr>
                <w:rFonts w:ascii="Calibri" w:hAnsi="Calibri"/>
                <w:sz w:val="22"/>
              </w:rPr>
              <w:t>~10.5% YoY implied by $10.24B consensus</w:t>
            </w:r>
          </w:p>
        </w:tc>
        <w:tc>
          <w:tcPr>
            <w:tcW w:type="dxa" w:w="1728"/>
          </w:tcPr>
          <w:p>
            <w:r>
              <w:rPr>
                <w:rFonts w:ascii="Calibri" w:hAnsi="Calibri"/>
                <w:sz w:val="22"/>
              </w:rPr>
              <w:t>Reaffirmed at Nareit June 2026; no change since Q1 print</w:t>
            </w:r>
          </w:p>
        </w:tc>
      </w:tr>
      <w:tr>
        <w:tc>
          <w:tcPr>
            <w:tcW w:type="dxa" w:w="1728"/>
          </w:tcPr>
          <w:p>
            <w:r>
              <w:rPr>
                <w:rFonts w:ascii="Calibri" w:hAnsi="Calibri"/>
                <w:sz w:val="22"/>
              </w:rPr>
              <w:t>FY2026 Adj. EBITDA Margin</w:t>
            </w:r>
          </w:p>
        </w:tc>
        <w:tc>
          <w:tcPr>
            <w:tcW w:type="dxa" w:w="1728"/>
          </w:tcPr>
          <w:p>
            <w:r>
              <w:rPr>
                <w:rFonts w:ascii="Calibri" w:hAnsi="Calibri"/>
                <w:sz w:val="22"/>
              </w:rPr>
              <w:t>~51% (raised $24M; +200bps YoY improvement)</w:t>
            </w:r>
          </w:p>
        </w:tc>
        <w:tc>
          <w:tcPr>
            <w:tcW w:type="dxa" w:w="1728"/>
          </w:tcPr>
          <w:p>
            <w:r>
              <w:rPr>
                <w:rFonts w:ascii="Calibri" w:hAnsi="Calibri"/>
                <w:sz w:val="22"/>
              </w:rPr>
              <w:t>—</w:t>
            </w:r>
          </w:p>
        </w:tc>
        <w:tc>
          <w:tcPr>
            <w:tcW w:type="dxa" w:w="1728"/>
          </w:tcPr>
          <w:p>
            <w:r>
              <w:rPr>
                <w:rFonts w:ascii="Calibri" w:hAnsi="Calibri"/>
                <w:sz w:val="22"/>
              </w:rPr>
              <w:t>~51.2% implied by $5.24B consensus EBITDA</w:t>
            </w:r>
          </w:p>
        </w:tc>
        <w:tc>
          <w:tcPr>
            <w:tcW w:type="dxa" w:w="1728"/>
          </w:tcPr>
          <w:p>
            <w:r>
              <w:rPr>
                <w:rFonts w:ascii="Calibri" w:hAnsi="Calibri"/>
                <w:sz w:val="22"/>
              </w:rPr>
              <w:t>Consensus tracking in-line with guidance</w:t>
            </w:r>
          </w:p>
        </w:tc>
      </w:tr>
      <w:tr>
        <w:tc>
          <w:tcPr>
            <w:tcW w:type="dxa" w:w="1728"/>
          </w:tcPr>
          <w:p>
            <w:r>
              <w:rPr>
                <w:rFonts w:ascii="Calibri" w:hAnsi="Calibri"/>
                <w:sz w:val="22"/>
              </w:rPr>
              <w:t>FY2026 AFFO Growth</w:t>
            </w:r>
          </w:p>
        </w:tc>
        <w:tc>
          <w:tcPr>
            <w:tcW w:type="dxa" w:w="1728"/>
          </w:tcPr>
          <w:p>
            <w:r>
              <w:rPr>
                <w:rFonts w:ascii="Calibri" w:hAnsi="Calibri"/>
                <w:sz w:val="22"/>
              </w:rPr>
              <w:t>10–12% YoY (raised ~$40M; +100bps)</w:t>
            </w:r>
          </w:p>
        </w:tc>
        <w:tc>
          <w:tcPr>
            <w:tcW w:type="dxa" w:w="1728"/>
          </w:tcPr>
          <w:p>
            <w:r>
              <w:rPr>
                <w:rFonts w:ascii="Calibri" w:hAnsi="Calibri"/>
                <w:sz w:val="22"/>
              </w:rPr>
              <w:t>—</w:t>
            </w:r>
          </w:p>
        </w:tc>
        <w:tc>
          <w:tcPr>
            <w:tcW w:type="dxa" w:w="1728"/>
          </w:tcPr>
          <w:p>
            <w:r>
              <w:rPr>
                <w:rFonts w:ascii="Calibri" w:hAnsi="Calibri"/>
                <w:sz w:val="22"/>
              </w:rPr>
              <w:t>$43.14/share FY2026 consensus</w:t>
            </w:r>
          </w:p>
        </w:tc>
        <w:tc>
          <w:tcPr>
            <w:tcW w:type="dxa" w:w="1728"/>
          </w:tcPr>
          <w:p>
            <w:r>
              <w:rPr>
                <w:rFonts w:ascii="Calibri" w:hAnsi="Calibri"/>
                <w:sz w:val="22"/>
              </w:rPr>
              <w:t>Reaffirmed at Nareit; consensus at low end of guidance range</w:t>
            </w:r>
          </w:p>
        </w:tc>
      </w:tr>
      <w:tr>
        <w:tc>
          <w:tcPr>
            <w:tcW w:type="dxa" w:w="1728"/>
          </w:tcPr>
          <w:p>
            <w:r>
              <w:rPr>
                <w:rFonts w:ascii="Calibri" w:hAnsi="Calibri"/>
                <w:sz w:val="22"/>
              </w:rPr>
              <w:t>FY2026 AFFO/Share Growth</w:t>
            </w:r>
          </w:p>
        </w:tc>
        <w:tc>
          <w:tcPr>
            <w:tcW w:type="dxa" w:w="1728"/>
          </w:tcPr>
          <w:p>
            <w:r>
              <w:rPr>
                <w:rFonts w:ascii="Calibri" w:hAnsi="Calibri"/>
                <w:sz w:val="22"/>
              </w:rPr>
              <w:t>9–11% YoY (raised +100bps)</w:t>
            </w:r>
          </w:p>
        </w:tc>
        <w:tc>
          <w:tcPr>
            <w:tcW w:type="dxa" w:w="1728"/>
          </w:tcPr>
          <w:p>
            <w:r>
              <w:rPr>
                <w:rFonts w:ascii="Calibri" w:hAnsi="Calibri"/>
                <w:sz w:val="22"/>
              </w:rPr>
              <w:t>—</w:t>
            </w:r>
          </w:p>
        </w:tc>
        <w:tc>
          <w:tcPr>
            <w:tcW w:type="dxa" w:w="1728"/>
          </w:tcPr>
          <w:p>
            <w:r>
              <w:rPr>
                <w:rFonts w:ascii="Calibri" w:hAnsi="Calibri"/>
                <w:sz w:val="22"/>
              </w:rPr>
              <w:t>$43.14/share (+9.3% vs. FY2025 actuals)</w:t>
            </w:r>
          </w:p>
        </w:tc>
        <w:tc>
          <w:tcPr>
            <w:tcW w:type="dxa" w:w="1728"/>
          </w:tcPr>
          <w:p>
            <w:r>
              <w:rPr>
                <w:rFonts w:ascii="Calibri" w:hAnsi="Calibri"/>
                <w:sz w:val="22"/>
              </w:rPr>
              <w:t>Consensus at low end of 9–11% range; upside if Hampton closes</w:t>
            </w:r>
          </w:p>
        </w:tc>
      </w:tr>
      <w:tr>
        <w:tc>
          <w:tcPr>
            <w:tcW w:type="dxa" w:w="1728"/>
          </w:tcPr>
          <w:p>
            <w:r>
              <w:rPr>
                <w:rFonts w:ascii="Calibri" w:hAnsi="Calibri"/>
                <w:sz w:val="22"/>
              </w:rPr>
              <w:t>FY2026 Total CapEx (ex-xScale &amp; land)</w:t>
            </w:r>
          </w:p>
        </w:tc>
        <w:tc>
          <w:tcPr>
            <w:tcW w:type="dxa" w:w="1728"/>
          </w:tcPr>
          <w:p>
            <w:r>
              <w:rPr>
                <w:rFonts w:ascii="Calibri" w:hAnsi="Calibri"/>
                <w:sz w:val="22"/>
              </w:rPr>
              <w:t>~$4.1B (top end of prior range; $280–300M recurring + ~$3.8B non-recurring)</w:t>
            </w:r>
          </w:p>
        </w:tc>
        <w:tc>
          <w:tcPr>
            <w:tcW w:type="dxa" w:w="1728"/>
          </w:tcPr>
          <w:p>
            <w:r>
              <w:rPr>
                <w:rFonts w:ascii="Calibri" w:hAnsi="Calibri"/>
                <w:sz w:val="22"/>
              </w:rPr>
              <w:t>—</w:t>
            </w:r>
          </w:p>
        </w:tc>
        <w:tc>
          <w:tcPr>
            <w:tcW w:type="dxa" w:w="1728"/>
          </w:tcPr>
          <w:p>
            <w:r>
              <w:rPr>
                <w:rFonts w:ascii="Calibri" w:hAnsi="Calibri"/>
                <w:sz w:val="22"/>
              </w:rPr>
              <w:t>N/A — not tracked in VA consensus</w:t>
            </w:r>
          </w:p>
        </w:tc>
        <w:tc>
          <w:tcPr>
            <w:tcW w:type="dxa" w:w="1728"/>
          </w:tcPr>
          <w:p>
            <w:r>
              <w:rPr>
                <w:rFonts w:ascii="Calibri" w:hAnsi="Calibri"/>
                <w:sz w:val="22"/>
              </w:rPr>
              <w:t>No change since Q1 print</w:t>
            </w:r>
          </w:p>
        </w:tc>
      </w:tr>
      <w:tr>
        <w:tc>
          <w:tcPr>
            <w:tcW w:type="dxa" w:w="1728"/>
          </w:tcPr>
          <w:p>
            <w:r>
              <w:rPr>
                <w:rFonts w:ascii="Calibri" w:hAnsi="Calibri"/>
                <w:sz w:val="22"/>
              </w:rPr>
              <w:t>Q2 2026 MRR Growth</w:t>
            </w:r>
          </w:p>
        </w:tc>
        <w:tc>
          <w:tcPr>
            <w:tcW w:type="dxa" w:w="1728"/>
          </w:tcPr>
          <w:p>
            <w:r>
              <w:rPr>
                <w:rFonts w:ascii="Calibri" w:hAnsi="Calibri"/>
                <w:sz w:val="22"/>
              </w:rPr>
              <w:t>10–11% YoY (explicit Q2 guidance on Q1 call)</w:t>
            </w:r>
          </w:p>
        </w:tc>
        <w:tc>
          <w:tcPr>
            <w:tcW w:type="dxa" w:w="1728"/>
          </w:tcPr>
          <w:p>
            <w:r>
              <w:rPr>
                <w:rFonts w:ascii="Calibri" w:hAnsi="Calibri"/>
                <w:sz w:val="22"/>
              </w:rPr>
              <w:t>—</w:t>
            </w:r>
          </w:p>
        </w:tc>
        <w:tc>
          <w:tcPr>
            <w:tcW w:type="dxa" w:w="1728"/>
          </w:tcPr>
          <w:p>
            <w:r>
              <w:rPr>
                <w:rFonts w:ascii="Calibri" w:hAnsi="Calibri"/>
                <w:sz w:val="22"/>
              </w:rPr>
              <w:t>$2,410M recurring revenue consensus (+12.5% YoY)</w:t>
            </w:r>
          </w:p>
        </w:tc>
        <w:tc>
          <w:tcPr>
            <w:tcW w:type="dxa" w:w="1728"/>
          </w:tcPr>
          <w:p>
            <w:r>
              <w:rPr>
                <w:rFonts w:ascii="Calibri" w:hAnsi="Calibri"/>
                <w:sz w:val="22"/>
              </w:rPr>
              <w:t>Consensus slightly above guidance midpoint; Hampton economics included</w:t>
            </w:r>
          </w:p>
        </w:tc>
      </w:tr>
      <w:tr>
        <w:tc>
          <w:tcPr>
            <w:tcW w:type="dxa" w:w="1728"/>
          </w:tcPr>
          <w:p>
            <w:r>
              <w:rPr>
                <w:rFonts w:ascii="Calibri" w:hAnsi="Calibri"/>
                <w:sz w:val="22"/>
              </w:rPr>
              <w:t>FY2026 MRR Churn</w:t>
            </w:r>
          </w:p>
        </w:tc>
        <w:tc>
          <w:tcPr>
            <w:tcW w:type="dxa" w:w="1728"/>
          </w:tcPr>
          <w:p>
            <w:r>
              <w:rPr>
                <w:rFonts w:ascii="Calibri" w:hAnsi="Calibri"/>
                <w:sz w:val="22"/>
              </w:rPr>
              <w:t>2.0–2.5% range (held despite Q1 beat at 1.7%)</w:t>
            </w:r>
          </w:p>
        </w:tc>
        <w:tc>
          <w:tcPr>
            <w:tcW w:type="dxa" w:w="1728"/>
          </w:tcPr>
          <w:p>
            <w:r>
              <w:rPr>
                <w:rFonts w:ascii="Calibri" w:hAnsi="Calibri"/>
                <w:sz w:val="22"/>
              </w:rPr>
              <w:t>—</w:t>
            </w:r>
          </w:p>
        </w:tc>
        <w:tc>
          <w:tcPr>
            <w:tcW w:type="dxa" w:w="1728"/>
          </w:tcPr>
          <w:p>
            <w:r>
              <w:rPr>
                <w:rFonts w:ascii="Calibri" w:hAnsi="Calibri"/>
                <w:sz w:val="22"/>
              </w:rPr>
              <w:t>2.21% Q2 consensus; 1.83% FY2026 consensus</w:t>
            </w:r>
          </w:p>
        </w:tc>
        <w:tc>
          <w:tcPr>
            <w:tcW w:type="dxa" w:w="1728"/>
          </w:tcPr>
          <w:p>
            <w:r>
              <w:rPr>
                <w:rFonts w:ascii="Calibri" w:hAnsi="Calibri"/>
                <w:sz w:val="22"/>
              </w:rPr>
              <w:t>Consensus expects normalization from Q1 timing benefit; FY consensus below guidance midpoint</w:t>
            </w:r>
          </w:p>
        </w:tc>
      </w:tr>
    </w:tbl>
    <w:p>
      <w:r>
        <w:rPr>
          <w:rFonts w:ascii="Calibri" w:hAnsi="Calibri"/>
          <w:color w:val="525866"/>
          <w:sz w:val="22"/>
        </w:rPr>
        <w:t>Source: Q1 2026 Earnings Call Transcript (April 29, 2026); Nareit REITweek Conference (June 2026); Visible Alpha Consensus Data.</w:t>
      </w:r>
    </w:p>
    <w:p>
      <w:r>
        <w:br w:type="page"/>
      </w:r>
    </w:p>
    <w:p>
      <w:pPr>
        <w:pStyle w:val="Heading2"/>
      </w:pPr>
      <w:r>
        <w:rPr>
          <w:rFonts w:ascii="Calibri" w:hAnsi="Calibri"/>
          <w:b/>
          <w:color w:val="3B4259"/>
          <w:sz w:val="28"/>
        </w:rPr>
        <w:t>4. Guidance vs. Estimate Revision Tracker</w:t>
      </w:r>
    </w:p>
    <w:p>
      <w:r>
        <w:rPr>
          <w:rFonts w:ascii="Calibri" w:hAnsi="Calibri"/>
          <w:b/>
          <w:color w:val="525866"/>
          <w:sz w:val="22"/>
        </w:rPr>
        <w:t xml:space="preserve">Key Takeaway: </w:t>
      </w:r>
      <w:r>
        <w:rPr>
          <w:rFonts w:ascii="Calibri" w:hAnsi="Calibri"/>
          <w:color w:val="525866"/>
          <w:sz w:val="22"/>
        </w:rPr>
        <w:t>Estimates have been modestly revised upward since the Q1 2026 print, with FY2026 AFFO/share consensus up ~$0.08 and revenue up ~$1.1M since the post-earnings baseline — the Street is gradually giving credit for the demand environment, but consensus remains at the low end of management’s guidance ranges, leaving room for a second consecutive raise.</w:t>
      </w:r>
    </w:p>
    <w:tbl>
      <w:tblPr>
        <w:tblStyle w:val="TableGrid"/>
        <w:tblW w:type="auto" w:w="0"/>
        <w:tblLook w:firstColumn="1" w:firstRow="1" w:lastColumn="0" w:lastRow="0" w:noHBand="0" w:noVBand="1" w:val="04A0"/>
      </w:tblPr>
      <w:tblGrid>
        <w:gridCol w:w="1080"/>
        <w:gridCol w:w="1080"/>
        <w:gridCol w:w="1080"/>
        <w:gridCol w:w="1080"/>
        <w:gridCol w:w="1080"/>
        <w:gridCol w:w="1080"/>
        <w:gridCol w:w="1080"/>
        <w:gridCol w:w="1080"/>
      </w:tblGrid>
      <w:tr>
        <w:tc>
          <w:tcPr>
            <w:tcW w:type="dxa" w:w="1080"/>
            <w:shd w:val="clear" w:color="auto" w:fill="3B4259"/>
          </w:tcPr>
          <w:p>
            <w:r>
              <w:rPr>
                <w:rFonts w:ascii="Calibri" w:hAnsi="Calibri"/>
                <w:b/>
                <w:color w:val="FFFFFF"/>
                <w:sz w:val="22"/>
              </w:rPr>
              <w:t>KPI (Period)</w:t>
            </w:r>
          </w:p>
        </w:tc>
        <w:tc>
          <w:tcPr>
            <w:tcW w:type="dxa" w:w="1080"/>
            <w:shd w:val="clear" w:color="auto" w:fill="3B4259"/>
          </w:tcPr>
          <w:p>
            <w:r>
              <w:rPr>
                <w:rFonts w:ascii="Calibri" w:hAnsi="Calibri"/>
                <w:b/>
                <w:color w:val="FFFFFF"/>
                <w:sz w:val="22"/>
              </w:rPr>
              <w:t>Estimate ~5 Days Post Q1 Earnings (as of May 6, 2026)</w:t>
            </w:r>
          </w:p>
        </w:tc>
        <w:tc>
          <w:tcPr>
            <w:tcW w:type="dxa" w:w="1080"/>
            <w:shd w:val="clear" w:color="auto" w:fill="3B4259"/>
          </w:tcPr>
          <w:p>
            <w:r>
              <w:rPr>
                <w:rFonts w:ascii="Calibri" w:hAnsi="Calibri"/>
                <w:b/>
                <w:color w:val="FFFFFF"/>
                <w:sz w:val="22"/>
              </w:rPr>
              <w:t>Current Consensus (Jul 28, 2026)</w:t>
            </w:r>
          </w:p>
        </w:tc>
        <w:tc>
          <w:tcPr>
            <w:tcW w:type="dxa" w:w="1080"/>
            <w:shd w:val="clear" w:color="auto" w:fill="3B4259"/>
          </w:tcPr>
          <w:p>
            <w:r>
              <w:rPr>
                <w:rFonts w:ascii="Calibri" w:hAnsi="Calibri"/>
                <w:b/>
                <w:color w:val="FFFFFF"/>
                <w:sz w:val="22"/>
              </w:rPr>
              <w:t>Estimate Δ (%)</w:t>
            </w:r>
          </w:p>
        </w:tc>
        <w:tc>
          <w:tcPr>
            <w:tcW w:type="dxa" w:w="1080"/>
            <w:shd w:val="clear" w:color="auto" w:fill="3B4259"/>
          </w:tcPr>
          <w:p>
            <w:r>
              <w:rPr>
                <w:rFonts w:ascii="Calibri" w:hAnsi="Calibri"/>
                <w:b/>
                <w:color w:val="FFFFFF"/>
                <w:sz w:val="22"/>
              </w:rPr>
              <w:t>Initial Guidance (Q1 Call)</w:t>
            </w:r>
          </w:p>
        </w:tc>
        <w:tc>
          <w:tcPr>
            <w:tcW w:type="dxa" w:w="1080"/>
            <w:shd w:val="clear" w:color="auto" w:fill="3B4259"/>
          </w:tcPr>
          <w:p>
            <w:r>
              <w:rPr>
                <w:rFonts w:ascii="Calibri" w:hAnsi="Calibri"/>
                <w:b/>
                <w:color w:val="FFFFFF"/>
                <w:sz w:val="22"/>
              </w:rPr>
              <w:t>Current Guidance</w:t>
            </w:r>
          </w:p>
        </w:tc>
        <w:tc>
          <w:tcPr>
            <w:tcW w:type="dxa" w:w="1080"/>
            <w:shd w:val="clear" w:color="auto" w:fill="3B4259"/>
          </w:tcPr>
          <w:p>
            <w:r>
              <w:rPr>
                <w:rFonts w:ascii="Calibri" w:hAnsi="Calibri"/>
                <w:b/>
                <w:color w:val="FFFFFF"/>
                <w:sz w:val="22"/>
              </w:rPr>
              <w:t>Guidance Δ</w:t>
            </w:r>
          </w:p>
        </w:tc>
        <w:tc>
          <w:tcPr>
            <w:tcW w:type="dxa" w:w="1080"/>
            <w:shd w:val="clear" w:color="auto" w:fill="3B4259"/>
          </w:tcPr>
          <w:p>
            <w:r>
              <w:rPr>
                <w:rFonts w:ascii="Calibri" w:hAnsi="Calibri"/>
                <w:b/>
                <w:color w:val="FFFFFF"/>
                <w:sz w:val="22"/>
              </w:rPr>
              <w:t>Consensus vs. Guidance (%)</w:t>
            </w:r>
          </w:p>
        </w:tc>
      </w:tr>
      <w:tr>
        <w:tc>
          <w:tcPr>
            <w:tcW w:type="dxa" w:w="1080"/>
          </w:tcPr>
          <w:p>
            <w:r>
              <w:rPr>
                <w:rFonts w:ascii="Calibri" w:hAnsi="Calibri"/>
                <w:sz w:val="22"/>
              </w:rPr>
              <w:t>Revenue — Q2 2026</w:t>
            </w:r>
          </w:p>
        </w:tc>
        <w:tc>
          <w:tcPr>
            <w:tcW w:type="dxa" w:w="1080"/>
          </w:tcPr>
          <w:p>
            <w:r>
              <w:rPr>
                <w:rFonts w:ascii="Calibri" w:hAnsi="Calibri"/>
                <w:sz w:val="22"/>
              </w:rPr>
              <w:t>$2,590M</w:t>
            </w:r>
          </w:p>
        </w:tc>
        <w:tc>
          <w:tcPr>
            <w:tcW w:type="dxa" w:w="1080"/>
          </w:tcPr>
          <w:p>
            <w:r>
              <w:rPr>
                <w:rFonts w:ascii="Calibri" w:hAnsi="Calibri"/>
                <w:sz w:val="22"/>
              </w:rPr>
              <w:t>$2,591M</w:t>
            </w:r>
          </w:p>
        </w:tc>
        <w:tc>
          <w:tcPr>
            <w:tcW w:type="dxa" w:w="1080"/>
          </w:tcPr>
          <w:p>
            <w:r>
              <w:rPr>
                <w:rFonts w:ascii="Calibri" w:hAnsi="Calibri"/>
                <w:sz w:val="22"/>
              </w:rPr>
              <w:t>+0.0%</w:t>
            </w:r>
          </w:p>
        </w:tc>
        <w:tc>
          <w:tcPr>
            <w:tcW w:type="dxa" w:w="1080"/>
          </w:tcPr>
          <w:p>
            <w:r>
              <w:rPr>
                <w:rFonts w:ascii="Calibri" w:hAnsi="Calibri"/>
                <w:sz w:val="22"/>
              </w:rPr>
              <w:t>10–11% MRR growth YoY; Hampton included</w:t>
            </w:r>
          </w:p>
        </w:tc>
        <w:tc>
          <w:tcPr>
            <w:tcW w:type="dxa" w:w="1080"/>
          </w:tcPr>
          <w:p>
            <w:r>
              <w:rPr>
                <w:rFonts w:ascii="Calibri" w:hAnsi="Calibri"/>
                <w:sz w:val="22"/>
              </w:rPr>
              <w:t>Unchanged</w:t>
            </w:r>
          </w:p>
        </w:tc>
        <w:tc>
          <w:tcPr>
            <w:tcW w:type="dxa" w:w="1080"/>
          </w:tcPr>
          <w:p>
            <w:r>
              <w:rPr>
                <w:rFonts w:ascii="Calibri" w:hAnsi="Calibri"/>
                <w:sz w:val="22"/>
              </w:rPr>
              <w:t>—</w:t>
            </w:r>
          </w:p>
        </w:tc>
        <w:tc>
          <w:tcPr>
            <w:tcW w:type="dxa" w:w="1080"/>
          </w:tcPr>
          <w:p>
            <w:r>
              <w:rPr>
                <w:rFonts w:ascii="Calibri" w:hAnsi="Calibri"/>
                <w:sz w:val="22"/>
              </w:rPr>
              <w:t>~In-line</w:t>
            </w:r>
          </w:p>
        </w:tc>
      </w:tr>
      <w:tr>
        <w:tc>
          <w:tcPr>
            <w:tcW w:type="dxa" w:w="1080"/>
          </w:tcPr>
          <w:p>
            <w:r>
              <w:rPr>
                <w:rFonts w:ascii="Calibri" w:hAnsi="Calibri"/>
                <w:sz w:val="22"/>
              </w:rPr>
              <w:t>Revenue — FY2026</w:t>
            </w:r>
          </w:p>
        </w:tc>
        <w:tc>
          <w:tcPr>
            <w:tcW w:type="dxa" w:w="1080"/>
          </w:tcPr>
          <w:p>
            <w:r>
              <w:rPr>
                <w:rFonts w:ascii="Calibri" w:hAnsi="Calibri"/>
                <w:sz w:val="22"/>
              </w:rPr>
              <w:t>$10,234M</w:t>
            </w:r>
          </w:p>
        </w:tc>
        <w:tc>
          <w:tcPr>
            <w:tcW w:type="dxa" w:w="1080"/>
          </w:tcPr>
          <w:p>
            <w:r>
              <w:rPr>
                <w:rFonts w:ascii="Calibri" w:hAnsi="Calibri"/>
                <w:sz w:val="22"/>
              </w:rPr>
              <w:t>$10,245M</w:t>
            </w:r>
          </w:p>
        </w:tc>
        <w:tc>
          <w:tcPr>
            <w:tcW w:type="dxa" w:w="1080"/>
          </w:tcPr>
          <w:p>
            <w:r>
              <w:rPr>
                <w:rFonts w:ascii="Calibri" w:hAnsi="Calibri"/>
                <w:sz w:val="22"/>
              </w:rPr>
              <w:t>+0.1%</w:t>
            </w:r>
          </w:p>
        </w:tc>
        <w:tc>
          <w:tcPr>
            <w:tcW w:type="dxa" w:w="1080"/>
          </w:tcPr>
          <w:p>
            <w:r>
              <w:rPr>
                <w:rFonts w:ascii="Calibri" w:hAnsi="Calibri"/>
                <w:sz w:val="22"/>
              </w:rPr>
              <w:t>10–11% YoY growth</w:t>
            </w:r>
          </w:p>
        </w:tc>
        <w:tc>
          <w:tcPr>
            <w:tcW w:type="dxa" w:w="1080"/>
          </w:tcPr>
          <w:p>
            <w:r>
              <w:rPr>
                <w:rFonts w:ascii="Calibri" w:hAnsi="Calibri"/>
                <w:sz w:val="22"/>
              </w:rPr>
              <w:t>Unchanged</w:t>
            </w:r>
          </w:p>
        </w:tc>
        <w:tc>
          <w:tcPr>
            <w:tcW w:type="dxa" w:w="1080"/>
          </w:tcPr>
          <w:p>
            <w:r>
              <w:rPr>
                <w:rFonts w:ascii="Calibri" w:hAnsi="Calibri"/>
                <w:sz w:val="22"/>
              </w:rPr>
              <w:t>—</w:t>
            </w:r>
          </w:p>
        </w:tc>
        <w:tc>
          <w:tcPr>
            <w:tcW w:type="dxa" w:w="1080"/>
          </w:tcPr>
          <w:p>
            <w:r>
              <w:rPr>
                <w:rFonts w:ascii="Calibri" w:hAnsi="Calibri"/>
                <w:sz w:val="22"/>
              </w:rPr>
              <w:t>~In-line with midpoint</w:t>
            </w:r>
          </w:p>
        </w:tc>
      </w:tr>
      <w:tr>
        <w:tc>
          <w:tcPr>
            <w:tcW w:type="dxa" w:w="1080"/>
          </w:tcPr>
          <w:p>
            <w:r>
              <w:rPr>
                <w:rFonts w:ascii="Calibri" w:hAnsi="Calibri"/>
                <w:sz w:val="22"/>
              </w:rPr>
              <w:t>AFFO/Share — Q2 2026</w:t>
            </w:r>
          </w:p>
        </w:tc>
        <w:tc>
          <w:tcPr>
            <w:tcW w:type="dxa" w:w="1080"/>
          </w:tcPr>
          <w:p>
            <w:r>
              <w:rPr>
                <w:rFonts w:ascii="Calibri" w:hAnsi="Calibri"/>
                <w:sz w:val="22"/>
              </w:rPr>
              <w:t>$11.35</w:t>
            </w:r>
          </w:p>
        </w:tc>
        <w:tc>
          <w:tcPr>
            <w:tcW w:type="dxa" w:w="1080"/>
          </w:tcPr>
          <w:p>
            <w:r>
              <w:rPr>
                <w:rFonts w:ascii="Calibri" w:hAnsi="Calibri"/>
                <w:sz w:val="22"/>
              </w:rPr>
              <w:t>$11.36</w:t>
            </w:r>
          </w:p>
        </w:tc>
        <w:tc>
          <w:tcPr>
            <w:tcW w:type="dxa" w:w="1080"/>
          </w:tcPr>
          <w:p>
            <w:r>
              <w:rPr>
                <w:rFonts w:ascii="Calibri" w:hAnsi="Calibri"/>
                <w:sz w:val="22"/>
              </w:rPr>
              <w:t>+0.1%</w:t>
            </w:r>
          </w:p>
        </w:tc>
        <w:tc>
          <w:tcPr>
            <w:tcW w:type="dxa" w:w="1080"/>
          </w:tcPr>
          <w:p>
            <w:r>
              <w:rPr>
                <w:rFonts w:ascii="Calibri" w:hAnsi="Calibri"/>
                <w:sz w:val="22"/>
              </w:rPr>
              <w:t>FY2026 AFFO/share growth 9–11%</w:t>
            </w:r>
          </w:p>
        </w:tc>
        <w:tc>
          <w:tcPr>
            <w:tcW w:type="dxa" w:w="1080"/>
          </w:tcPr>
          <w:p>
            <w:r>
              <w:rPr>
                <w:rFonts w:ascii="Calibri" w:hAnsi="Calibri"/>
                <w:sz w:val="22"/>
              </w:rPr>
              <w:t>Unchanged</w:t>
            </w:r>
          </w:p>
        </w:tc>
        <w:tc>
          <w:tcPr>
            <w:tcW w:type="dxa" w:w="1080"/>
          </w:tcPr>
          <w:p>
            <w:r>
              <w:rPr>
                <w:rFonts w:ascii="Calibri" w:hAnsi="Calibri"/>
                <w:sz w:val="22"/>
              </w:rPr>
              <w:t>—</w:t>
            </w:r>
          </w:p>
        </w:tc>
        <w:tc>
          <w:tcPr>
            <w:tcW w:type="dxa" w:w="1080"/>
          </w:tcPr>
          <w:p>
            <w:r>
              <w:rPr>
                <w:rFonts w:ascii="Calibri" w:hAnsi="Calibri"/>
                <w:sz w:val="22"/>
              </w:rPr>
              <w:t>~Low end of guidance range</w:t>
            </w:r>
          </w:p>
        </w:tc>
      </w:tr>
      <w:tr>
        <w:tc>
          <w:tcPr>
            <w:tcW w:type="dxa" w:w="1080"/>
          </w:tcPr>
          <w:p>
            <w:r>
              <w:rPr>
                <w:rFonts w:ascii="Calibri" w:hAnsi="Calibri"/>
                <w:sz w:val="22"/>
              </w:rPr>
              <w:t>AFFO/Share — FY2026</w:t>
            </w:r>
          </w:p>
        </w:tc>
        <w:tc>
          <w:tcPr>
            <w:tcW w:type="dxa" w:w="1080"/>
          </w:tcPr>
          <w:p>
            <w:r>
              <w:rPr>
                <w:rFonts w:ascii="Calibri" w:hAnsi="Calibri"/>
                <w:sz w:val="22"/>
              </w:rPr>
              <w:t>$43.07</w:t>
            </w:r>
          </w:p>
        </w:tc>
        <w:tc>
          <w:tcPr>
            <w:tcW w:type="dxa" w:w="1080"/>
          </w:tcPr>
          <w:p>
            <w:r>
              <w:rPr>
                <w:rFonts w:ascii="Calibri" w:hAnsi="Calibri"/>
                <w:sz w:val="22"/>
              </w:rPr>
              <w:t>$43.14</w:t>
            </w:r>
          </w:p>
        </w:tc>
        <w:tc>
          <w:tcPr>
            <w:tcW w:type="dxa" w:w="1080"/>
          </w:tcPr>
          <w:p>
            <w:r>
              <w:rPr>
                <w:rFonts w:ascii="Calibri" w:hAnsi="Calibri"/>
                <w:sz w:val="22"/>
              </w:rPr>
              <w:t>+0.2%</w:t>
            </w:r>
          </w:p>
        </w:tc>
        <w:tc>
          <w:tcPr>
            <w:tcW w:type="dxa" w:w="1080"/>
          </w:tcPr>
          <w:p>
            <w:r>
              <w:rPr>
                <w:rFonts w:ascii="Calibri" w:hAnsi="Calibri"/>
                <w:sz w:val="22"/>
              </w:rPr>
              <w:t>9–11% YoY growth (FY2025 base: ~$39.5)</w:t>
            </w:r>
          </w:p>
        </w:tc>
        <w:tc>
          <w:tcPr>
            <w:tcW w:type="dxa" w:w="1080"/>
          </w:tcPr>
          <w:p>
            <w:r>
              <w:rPr>
                <w:rFonts w:ascii="Calibri" w:hAnsi="Calibri"/>
                <w:sz w:val="22"/>
              </w:rPr>
              <w:t>Unchanged</w:t>
            </w:r>
          </w:p>
        </w:tc>
        <w:tc>
          <w:tcPr>
            <w:tcW w:type="dxa" w:w="1080"/>
          </w:tcPr>
          <w:p>
            <w:r>
              <w:rPr>
                <w:rFonts w:ascii="Calibri" w:hAnsi="Calibri"/>
                <w:sz w:val="22"/>
              </w:rPr>
              <w:t>—</w:t>
            </w:r>
          </w:p>
        </w:tc>
        <w:tc>
          <w:tcPr>
            <w:tcW w:type="dxa" w:w="1080"/>
          </w:tcPr>
          <w:p>
            <w:r>
              <w:rPr>
                <w:rFonts w:ascii="Calibri" w:hAnsi="Calibri"/>
                <w:sz w:val="22"/>
              </w:rPr>
              <w:t>~Low end of 9–11% range</w:t>
            </w:r>
          </w:p>
        </w:tc>
      </w:tr>
      <w:tr>
        <w:tc>
          <w:tcPr>
            <w:tcW w:type="dxa" w:w="1080"/>
          </w:tcPr>
          <w:p>
            <w:r>
              <w:rPr>
                <w:rFonts w:ascii="Calibri" w:hAnsi="Calibri"/>
                <w:sz w:val="22"/>
              </w:rPr>
              <w:t>Adj. EBITDA — Q2 2026</w:t>
            </w:r>
          </w:p>
        </w:tc>
        <w:tc>
          <w:tcPr>
            <w:tcW w:type="dxa" w:w="1080"/>
          </w:tcPr>
          <w:p>
            <w:r>
              <w:rPr>
                <w:rFonts w:ascii="Calibri" w:hAnsi="Calibri"/>
                <w:sz w:val="22"/>
              </w:rPr>
              <w:t>$1,363M</w:t>
            </w:r>
          </w:p>
        </w:tc>
        <w:tc>
          <w:tcPr>
            <w:tcW w:type="dxa" w:w="1080"/>
          </w:tcPr>
          <w:p>
            <w:r>
              <w:rPr>
                <w:rFonts w:ascii="Calibri" w:hAnsi="Calibri"/>
                <w:sz w:val="22"/>
              </w:rPr>
              <w:t>$1,362M</w:t>
            </w:r>
          </w:p>
        </w:tc>
        <w:tc>
          <w:tcPr>
            <w:tcW w:type="dxa" w:w="1080"/>
          </w:tcPr>
          <w:p>
            <w:r>
              <w:rPr>
                <w:rFonts w:ascii="Calibri" w:hAnsi="Calibri"/>
                <w:sz w:val="22"/>
              </w:rPr>
              <w:t>−0.1%</w:t>
            </w:r>
          </w:p>
        </w:tc>
        <w:tc>
          <w:tcPr>
            <w:tcW w:type="dxa" w:w="1080"/>
          </w:tcPr>
          <w:p>
            <w:r>
              <w:rPr>
                <w:rFonts w:ascii="Calibri" w:hAnsi="Calibri"/>
                <w:sz w:val="22"/>
              </w:rPr>
              <w:t>~51% FY margin; +200bps YoY</w:t>
            </w:r>
          </w:p>
        </w:tc>
        <w:tc>
          <w:tcPr>
            <w:tcW w:type="dxa" w:w="1080"/>
          </w:tcPr>
          <w:p>
            <w:r>
              <w:rPr>
                <w:rFonts w:ascii="Calibri" w:hAnsi="Calibri"/>
                <w:sz w:val="22"/>
              </w:rPr>
              <w:t>Unchanged</w:t>
            </w:r>
          </w:p>
        </w:tc>
        <w:tc>
          <w:tcPr>
            <w:tcW w:type="dxa" w:w="1080"/>
          </w:tcPr>
          <w:p>
            <w:r>
              <w:rPr>
                <w:rFonts w:ascii="Calibri" w:hAnsi="Calibri"/>
                <w:sz w:val="22"/>
              </w:rPr>
              <w:t>—</w:t>
            </w:r>
          </w:p>
        </w:tc>
        <w:tc>
          <w:tcPr>
            <w:tcW w:type="dxa" w:w="1080"/>
          </w:tcPr>
          <w:p>
            <w:r>
              <w:rPr>
                <w:rFonts w:ascii="Calibri" w:hAnsi="Calibri"/>
                <w:sz w:val="22"/>
              </w:rPr>
              <w:t>~In-line</w:t>
            </w:r>
          </w:p>
        </w:tc>
      </w:tr>
      <w:tr>
        <w:tc>
          <w:tcPr>
            <w:tcW w:type="dxa" w:w="1080"/>
          </w:tcPr>
          <w:p>
            <w:r>
              <w:rPr>
                <w:rFonts w:ascii="Calibri" w:hAnsi="Calibri"/>
                <w:sz w:val="22"/>
              </w:rPr>
              <w:t>Adj. EBITDA — FY2026</w:t>
            </w:r>
          </w:p>
        </w:tc>
        <w:tc>
          <w:tcPr>
            <w:tcW w:type="dxa" w:w="1080"/>
          </w:tcPr>
          <w:p>
            <w:r>
              <w:rPr>
                <w:rFonts w:ascii="Calibri" w:hAnsi="Calibri"/>
                <w:sz w:val="22"/>
              </w:rPr>
              <w:t>$5,235M</w:t>
            </w:r>
          </w:p>
        </w:tc>
        <w:tc>
          <w:tcPr>
            <w:tcW w:type="dxa" w:w="1080"/>
          </w:tcPr>
          <w:p>
            <w:r>
              <w:rPr>
                <w:rFonts w:ascii="Calibri" w:hAnsi="Calibri"/>
                <w:sz w:val="22"/>
              </w:rPr>
              <w:t>$5,242M</w:t>
            </w:r>
          </w:p>
        </w:tc>
        <w:tc>
          <w:tcPr>
            <w:tcW w:type="dxa" w:w="1080"/>
          </w:tcPr>
          <w:p>
            <w:r>
              <w:rPr>
                <w:rFonts w:ascii="Calibri" w:hAnsi="Calibri"/>
                <w:sz w:val="22"/>
              </w:rPr>
              <w:t>+0.1%</w:t>
            </w:r>
          </w:p>
        </w:tc>
        <w:tc>
          <w:tcPr>
            <w:tcW w:type="dxa" w:w="1080"/>
          </w:tcPr>
          <w:p>
            <w:r>
              <w:rPr>
                <w:rFonts w:ascii="Calibri" w:hAnsi="Calibri"/>
                <w:sz w:val="22"/>
              </w:rPr>
              <w:t>~51% margin; raised $24M at Q1 print</w:t>
            </w:r>
          </w:p>
        </w:tc>
        <w:tc>
          <w:tcPr>
            <w:tcW w:type="dxa" w:w="1080"/>
          </w:tcPr>
          <w:p>
            <w:r>
              <w:rPr>
                <w:rFonts w:ascii="Calibri" w:hAnsi="Calibri"/>
                <w:sz w:val="22"/>
              </w:rPr>
              <w:t>Unchanged</w:t>
            </w:r>
          </w:p>
        </w:tc>
        <w:tc>
          <w:tcPr>
            <w:tcW w:type="dxa" w:w="1080"/>
          </w:tcPr>
          <w:p>
            <w:r>
              <w:rPr>
                <w:rFonts w:ascii="Calibri" w:hAnsi="Calibri"/>
                <w:sz w:val="22"/>
              </w:rPr>
              <w:t>—</w:t>
            </w:r>
          </w:p>
        </w:tc>
        <w:tc>
          <w:tcPr>
            <w:tcW w:type="dxa" w:w="1080"/>
          </w:tcPr>
          <w:p>
            <w:r>
              <w:rPr>
                <w:rFonts w:ascii="Calibri" w:hAnsi="Calibri"/>
                <w:sz w:val="22"/>
              </w:rPr>
              <w:t>~In-line</w:t>
            </w:r>
          </w:p>
        </w:tc>
      </w:tr>
      <w:tr>
        <w:tc>
          <w:tcPr>
            <w:tcW w:type="dxa" w:w="1080"/>
          </w:tcPr>
          <w:p>
            <w:r>
              <w:rPr>
                <w:rFonts w:ascii="Calibri" w:hAnsi="Calibri"/>
                <w:sz w:val="22"/>
              </w:rPr>
              <w:t>Interconnection Revenue — Q2 2026</w:t>
            </w:r>
          </w:p>
        </w:tc>
        <w:tc>
          <w:tcPr>
            <w:tcW w:type="dxa" w:w="1080"/>
          </w:tcPr>
          <w:p>
            <w:r>
              <w:rPr>
                <w:rFonts w:ascii="Calibri" w:hAnsi="Calibri"/>
                <w:sz w:val="22"/>
              </w:rPr>
              <w:t>$456M</w:t>
            </w:r>
          </w:p>
        </w:tc>
        <w:tc>
          <w:tcPr>
            <w:tcW w:type="dxa" w:w="1080"/>
          </w:tcPr>
          <w:p>
            <w:r>
              <w:rPr>
                <w:rFonts w:ascii="Calibri" w:hAnsi="Calibri"/>
                <w:sz w:val="22"/>
              </w:rPr>
              <w:t>$457M</w:t>
            </w:r>
          </w:p>
        </w:tc>
        <w:tc>
          <w:tcPr>
            <w:tcW w:type="dxa" w:w="1080"/>
          </w:tcPr>
          <w:p>
            <w:r>
              <w:rPr>
                <w:rFonts w:ascii="Calibri" w:hAnsi="Calibri"/>
                <w:sz w:val="22"/>
              </w:rPr>
              <w:t>+0.2%</w:t>
            </w:r>
          </w:p>
        </w:tc>
        <w:tc>
          <w:tcPr>
            <w:tcW w:type="dxa" w:w="1080"/>
          </w:tcPr>
          <w:p>
            <w:r>
              <w:rPr>
                <w:rFonts w:ascii="Calibri" w:hAnsi="Calibri"/>
                <w:sz w:val="22"/>
              </w:rPr>
              <w:t>No specific quarterly guidance</w:t>
            </w:r>
          </w:p>
        </w:tc>
        <w:tc>
          <w:tcPr>
            <w:tcW w:type="dxa" w:w="1080"/>
          </w:tcPr>
          <w:p>
            <w:r>
              <w:rPr>
                <w:rFonts w:ascii="Calibri" w:hAnsi="Calibri"/>
                <w:sz w:val="22"/>
              </w:rPr>
              <w:t>N/A</w:t>
            </w:r>
          </w:p>
        </w:tc>
        <w:tc>
          <w:tcPr>
            <w:tcW w:type="dxa" w:w="1080"/>
          </w:tcPr>
          <w:p>
            <w:r>
              <w:rPr>
                <w:rFonts w:ascii="Calibri" w:hAnsi="Calibri"/>
                <w:sz w:val="22"/>
              </w:rPr>
              <w:t>—</w:t>
            </w:r>
          </w:p>
        </w:tc>
        <w:tc>
          <w:tcPr>
            <w:tcW w:type="dxa" w:w="1080"/>
          </w:tcPr>
          <w:p>
            <w:r>
              <w:rPr>
                <w:rFonts w:ascii="Calibri" w:hAnsi="Calibri"/>
                <w:sz w:val="22"/>
              </w:rPr>
              <w:t>N/A</w:t>
            </w:r>
          </w:p>
        </w:tc>
      </w:tr>
    </w:tbl>
    <w:p>
      <w:r>
        <w:rPr>
          <w:rFonts w:ascii="Calibri" w:hAnsi="Calibri"/>
          <w:color w:val="525866"/>
          <w:sz w:val="22"/>
        </w:rPr>
        <w:t>Estimates have been remarkably stable since the Q1 2026 print, with virtually no revision in either direction across all key KPIs. This stability reflects a market that has largely accepted management’s guidance framework and is waiting for the Q2 print to determine whether a second consecutive guidance raise is warranted. The key upside lever is the Hampton xScale lease — if signed and contributing in Q2, it could push AFFO/share toward the high end of the 9–11% FY guidance range. Source: Visible Alpha Consensus and Actuals Data.</w:t>
      </w:r>
    </w:p>
    <w:p>
      <w:r>
        <w:br w:type="page"/>
      </w:r>
    </w:p>
    <w:p>
      <w:pPr>
        <w:pStyle w:val="Heading2"/>
      </w:pPr>
      <w:r>
        <w:rPr>
          <w:rFonts w:ascii="Calibri" w:hAnsi="Calibri"/>
          <w:b/>
          <w:color w:val="3B4259"/>
          <w:sz w:val="28"/>
        </w:rPr>
        <w:t>5. Stock Performance</w:t>
      </w:r>
    </w:p>
    <w:p>
      <w:r>
        <w:rPr>
          <w:rFonts w:ascii="Calibri" w:hAnsi="Calibri"/>
          <w:b/>
          <w:color w:val="525866"/>
          <w:sz w:val="22"/>
        </w:rPr>
        <w:t xml:space="preserve">Key Takeaway: </w:t>
      </w:r>
      <w:r>
        <w:rPr>
          <w:rFonts w:ascii="Calibri" w:hAnsi="Calibri"/>
          <w:color w:val="525866"/>
          <w:sz w:val="22"/>
        </w:rPr>
        <w:t>EQIX has underperformed IYR (REIT ETF) by ~11 percentage points since the Q1 2026 earnings date, driven by multiple compression and sector rotation into rate-sensitive REITs — the stock’s relative weakness is not earnings-driven and creates a lower-risk setup heading into Q2.</w:t>
      </w:r>
    </w:p>
    <w:p>
      <w:r>
        <w:drawing>
          <wp:inline xmlns:a="http://schemas.openxmlformats.org/drawingml/2006/main" xmlns:pic="http://schemas.openxmlformats.org/drawingml/2006/picture">
            <wp:extent cx="5943600" cy="4245429"/>
            <wp:docPr id="1" name="Picture 1"/>
            <wp:cNvGraphicFramePr>
              <a:graphicFrameLocks noChangeAspect="1"/>
            </wp:cNvGraphicFramePr>
            <a:graphic>
              <a:graphicData uri="http://schemas.openxmlformats.org/drawingml/2006/picture">
                <pic:pic>
                  <pic:nvPicPr>
                    <pic:cNvPr id="0" name="image.png"/>
                    <pic:cNvPicPr/>
                  </pic:nvPicPr>
                  <pic:blipFill>
                    <a:blip r:embed="rId9"/>
                    <a:stretch>
                      <a:fillRect/>
                    </a:stretch>
                  </pic:blipFill>
                  <pic:spPr>
                    <a:xfrm>
                      <a:off x="0" y="0"/>
                      <a:ext cx="5943600" cy="4245429"/>
                    </a:xfrm>
                    <a:prstGeom prst="rect"/>
                  </pic:spPr>
                </pic:pic>
              </a:graphicData>
            </a:graphic>
          </wp:inline>
        </w:drawing>
      </w:r>
    </w:p>
    <w:p>
      <w:pPr>
        <w:jc w:val="center"/>
      </w:pPr>
      <w:r>
        <w:rPr>
          <w:i/>
          <w:color w:val="666666"/>
          <w:sz w:val="18"/>
        </w:rPr>
        <w:t>EQIX vs. IYR (REIT ETF) vs. DLR — Indexed to 100 at April 29, 2026 (Q1 2026 Earnings Date). Source: Stock Price Data.</w:t>
      </w:r>
    </w:p>
    <w:p>
      <w:r>
        <w:rPr>
          <w:rFonts w:ascii="Calibri" w:hAnsi="Calibri"/>
          <w:color w:val="525866"/>
          <w:sz w:val="22"/>
        </w:rPr>
        <w:t>Since the Q1 2026 earnings date (April 29, 2026), EQIX has declined approximately 5% (from $1,089 to ~$1,035 as of July 28), while IYR has gained approximately +6% and DLR has declined approximately -1%. The notable events during this period include: (1) the May 7 senior notes offering, which added modest leverage but was well-received as consistent with the debt-first capital allocation strategy; (2) the June 2026 Nareit conference, where the CFO reaffirmed double-digit recurring revenue growth and full-year targets, providing a brief lift; (3) the July 14 announcement of Chief Business Officer Jon Lin’s departure, which weighed on the stock; and (4) DLR’s record Q2 2026 earnings on July 23, which drove a sharp sector rally (+5% on July 24) that partially closed the gap. The stock’s underperformance relative to IYR appears driven by multiple compression rather than fundamental deterioration — the underlying demand environment, as confirmed by both management commentary and peer read-throughs, remains robust. Source: Stock Price Data.</w:t>
      </w:r>
    </w:p>
    <w:p>
      <w:r>
        <w:br w:type="page"/>
      </w:r>
    </w:p>
    <w:p>
      <w:pPr>
        <w:pStyle w:val="Heading2"/>
      </w:pPr>
      <w:r>
        <w:rPr>
          <w:rFonts w:ascii="Calibri" w:hAnsi="Calibri"/>
          <w:b/>
          <w:color w:val="3B4259"/>
          <w:sz w:val="28"/>
        </w:rPr>
        <w:t>6. Peer Commentaries — Read-Through for Q2 2026</w:t>
      </w:r>
    </w:p>
    <w:p>
      <w:r>
        <w:rPr>
          <w:rFonts w:ascii="Calibri" w:hAnsi="Calibri"/>
          <w:b/>
          <w:color w:val="525866"/>
          <w:sz w:val="22"/>
        </w:rPr>
        <w:t xml:space="preserve">Key Takeaway: </w:t>
      </w:r>
      <w:r>
        <w:rPr>
          <w:rFonts w:ascii="Calibri" w:hAnsi="Calibri"/>
          <w:color w:val="525866"/>
          <w:sz w:val="22"/>
        </w:rPr>
        <w:t>Peer commentary from Digital Realty (Q2 2026 earnings, July 23) and American Tower / CoreSite (Q2 2026 earnings, July 28; Nareit June 2026; JPM conference May 2026) is uniformly bullish on data center demand, AI-driven colocation, interconnection, and pricing — all of which are direct read-throughs for EQIX’s Q2 2026 print.</w:t>
      </w:r>
    </w:p>
    <w:p>
      <w:r>
        <w:rPr>
          <w:rFonts w:ascii="Calibri" w:hAnsi="Calibri"/>
          <w:b/>
          <w:color w:val="525866"/>
          <w:sz w:val="22"/>
        </w:rPr>
        <w:t xml:space="preserve">Note: </w:t>
      </w:r>
      <w:r>
        <w:rPr>
          <w:rFonts w:ascii="Calibri" w:hAnsi="Calibri"/>
          <w:color w:val="525866"/>
          <w:sz w:val="22"/>
        </w:rPr>
        <w:t>Only commentary from the current reporting quarter (Q2 2026) or post-Q1 2026 earnings is included below. Prior-quarter earnings commentary has been excluded per the user’s instruction.</w:t>
      </w:r>
    </w:p>
    <w:p>
      <w:pPr>
        <w:pStyle w:val="Heading3"/>
      </w:pPr>
      <w:r>
        <w:rPr>
          <w:rFonts w:ascii="Calibri" w:hAnsi="Calibri"/>
          <w:b/>
          <w:color w:val="3B4259"/>
          <w:sz w:val="24"/>
        </w:rPr>
        <w:t>Digital Realty (DLR) — Q2 2026 Earnings Call (July 23, 2026)</w:t>
      </w:r>
    </w:p>
    <w:p>
      <w:r>
        <w:rPr>
          <w:rFonts w:ascii="Calibri" w:hAnsi="Calibri"/>
          <w:b/>
          <w:color w:val="525866"/>
          <w:sz w:val="22"/>
        </w:rPr>
        <w:t xml:space="preserve">Read-Through Relevance: </w:t>
      </w:r>
      <w:r>
        <w:rPr>
          <w:rFonts w:ascii="Calibri" w:hAnsi="Calibri"/>
          <w:color w:val="525866"/>
          <w:sz w:val="22"/>
        </w:rPr>
        <w:t>DLR is EQIX’s closest public peer in data center colocation and interconnection. DLR’s Q2 2026 results were a strong positive read-through across every dimension that matters for EQIX.</w:t>
      </w:r>
    </w:p>
    <w:p>
      <w:pPr>
        <w:pStyle w:val="ListBullet"/>
        <w:ind w:left="360" w:hanging="360"/>
      </w:pPr>
      <w:r>
        <w:rPr>
          <w:rFonts w:ascii="Calibri" w:hAnsi="Calibri"/>
          <w:b/>
          <w:color w:val="525866"/>
          <w:sz w:val="22"/>
        </w:rPr>
        <w:t xml:space="preserve">Record colocation &amp; interconnection bookings: </w:t>
      </w:r>
      <w:r>
        <w:rPr>
          <w:rFonts w:ascii="Calibri" w:hAnsi="Calibri"/>
          <w:color w:val="525866"/>
          <w:sz w:val="22"/>
        </w:rPr>
        <w:t>DLR delivered $108M of 0–1MW+ interconnection bookings in Q2 2026, a third consecutive quarterly record and up 11% over the prior record set in Q1. Interconnection bookings hit a new record of $20.5M, up 18% YoY. This directly validates EQIX’s interconnection growth narrative and suggests Q2 interconnection net adds and revenue could surprise to the upside.</w:t>
      </w:r>
    </w:p>
    <w:p>
      <w:pPr>
        <w:pStyle w:val="ListBullet"/>
        <w:ind w:left="360" w:hanging="360"/>
      </w:pPr>
      <w:r>
        <w:rPr>
          <w:rFonts w:ascii="Calibri" w:hAnsi="Calibri"/>
          <w:b/>
          <w:color w:val="525866"/>
          <w:sz w:val="22"/>
        </w:rPr>
        <w:t xml:space="preserve">AI demand from pilot to production: </w:t>
      </w:r>
      <w:r>
        <w:rPr>
          <w:rFonts w:ascii="Calibri" w:hAnsi="Calibri"/>
          <w:color w:val="525866"/>
          <w:sz w:val="22"/>
        </w:rPr>
        <w:t>DLR noted that AI has transitioned “from pilot to production,” with AI contributing ~20% of enterprise bookings in Q2 (a record) and 1/3 to 50%+ of total bookings. DLR specifically cited inference workloads as the primary driver: “Inference is really why they’re coming to us to actually get to real production workload environments.” This mirrors EQIX’s own commentary that ~60% of its largest deals in Q1 were AI-related and reinforces the durability of AI-driven demand into Q2.</w:t>
      </w:r>
    </w:p>
    <w:p>
      <w:pPr>
        <w:pStyle w:val="ListBullet"/>
        <w:ind w:left="360" w:hanging="360"/>
      </w:pPr>
      <w:r>
        <w:rPr>
          <w:rFonts w:ascii="Calibri" w:hAnsi="Calibri"/>
          <w:b/>
          <w:color w:val="525866"/>
          <w:sz w:val="22"/>
        </w:rPr>
        <w:t xml:space="preserve">Pricing power intact: </w:t>
      </w:r>
      <w:r>
        <w:rPr>
          <w:rFonts w:ascii="Calibri" w:hAnsi="Calibri"/>
          <w:color w:val="525866"/>
          <w:sz w:val="22"/>
        </w:rPr>
        <w:t>DLR reported renewal spreads “surged to a record 25%+” in Q2 2026, with $261M of renewals signed at &gt;25% cash releasing spreads. DLR management stated prices are “continuing to grind higher” with “obvious and very clear supply-demand dynamics.” This is a strong read-through for EQIX’s MRR per cabinet yield trajectory and pricing power commentary.</w:t>
      </w:r>
    </w:p>
    <w:p>
      <w:pPr>
        <w:pStyle w:val="ListBullet"/>
        <w:ind w:left="360" w:hanging="360"/>
      </w:pPr>
      <w:r>
        <w:rPr>
          <w:rFonts w:ascii="Calibri" w:hAnsi="Calibri"/>
          <w:b/>
          <w:color w:val="525866"/>
          <w:sz w:val="22"/>
        </w:rPr>
        <w:t xml:space="preserve">Record backlog and development pipeline: </w:t>
      </w:r>
      <w:r>
        <w:rPr>
          <w:rFonts w:ascii="Calibri" w:hAnsi="Calibri"/>
          <w:color w:val="525866"/>
          <w:sz w:val="22"/>
        </w:rPr>
        <w:t>DLR’s total backlog reached a new record of $1.9B (100% share), representing ~30% of in-place data center revenue. DLR also signed two additional hyperscale leases post-quarter totaling $410M of annualized GAAP base rent. The strength of DLR’s pipeline is a positive read-through for EQIX’s own presales and backlog metrics.</w:t>
      </w:r>
    </w:p>
    <w:p>
      <w:pPr>
        <w:pStyle w:val="ListBullet"/>
        <w:ind w:left="360" w:hanging="360"/>
      </w:pPr>
      <w:r>
        <w:rPr>
          <w:rFonts w:ascii="Calibri" w:hAnsi="Calibri"/>
          <w:b/>
          <w:color w:val="525866"/>
          <w:sz w:val="22"/>
        </w:rPr>
        <w:t xml:space="preserve">Agentic AI as next wave: </w:t>
      </w:r>
      <w:r>
        <w:rPr>
          <w:rFonts w:ascii="Calibri" w:hAnsi="Calibri"/>
          <w:color w:val="525866"/>
          <w:sz w:val="22"/>
        </w:rPr>
        <w:t>DLR noted that “in 2026, there are more inference tokens being produced than actual training,” and that the next step is Agentic AI requiring bidirectional capabilities. This directly echoes EQIX’s own Distributed AI Hub and Fabric Intelligence product launches and validates EQIX’s positioning for the next wave of AI infrastructure demand.</w:t>
      </w:r>
    </w:p>
    <w:p>
      <w:pPr>
        <w:pStyle w:val="ListBullet"/>
        <w:ind w:left="360" w:hanging="360"/>
      </w:pPr>
      <w:r>
        <w:rPr>
          <w:rFonts w:ascii="Calibri" w:hAnsi="Calibri"/>
          <w:b/>
          <w:color w:val="525866"/>
          <w:sz w:val="22"/>
        </w:rPr>
        <w:t xml:space="preserve">Supply constraints tightening: </w:t>
      </w:r>
      <w:r>
        <w:rPr>
          <w:rFonts w:ascii="Calibri" w:hAnsi="Calibri"/>
          <w:color w:val="525866"/>
          <w:sz w:val="22"/>
        </w:rPr>
        <w:t>DLR described “tremendous tightness” in land values, supply chains, and labor, with supply “being curtailed for long durations of time.” This supply-demand imbalance is a structural positive for EQIX’s pricing power and capacity utilization.</w:t>
      </w:r>
    </w:p>
    <w:p>
      <w:pPr>
        <w:pStyle w:val="Heading3"/>
      </w:pPr>
      <w:r>
        <w:rPr>
          <w:rFonts w:ascii="Calibri" w:hAnsi="Calibri"/>
          <w:b/>
          <w:color w:val="3B4259"/>
          <w:sz w:val="24"/>
        </w:rPr>
        <w:t>American Tower / CoreSite (AMT) — Q2 2026 Earnings Call (July 28, 2026)</w:t>
      </w:r>
    </w:p>
    <w:p>
      <w:r>
        <w:rPr>
          <w:rFonts w:ascii="Calibri" w:hAnsi="Calibri"/>
          <w:b/>
          <w:color w:val="525866"/>
          <w:sz w:val="22"/>
        </w:rPr>
        <w:t xml:space="preserve">Read-Through Relevance: </w:t>
      </w:r>
      <w:r>
        <w:rPr>
          <w:rFonts w:ascii="Calibri" w:hAnsi="Calibri"/>
          <w:color w:val="525866"/>
          <w:sz w:val="22"/>
        </w:rPr>
        <w:t>AMT’s CoreSite is the closest U.S. interconnection-rich colocation peer to EQIX. AMT management explicitly described CoreSite as “interconnection-rich, only second behind Equinix,” making CoreSite’s performance a direct read-through for EQIX’s retail colocation and interconnection business.</w:t>
      </w:r>
    </w:p>
    <w:p>
      <w:pPr>
        <w:pStyle w:val="ListBullet"/>
        <w:ind w:left="360" w:hanging="360"/>
      </w:pPr>
      <w:r>
        <w:rPr>
          <w:rFonts w:ascii="Calibri" w:hAnsi="Calibri"/>
          <w:b/>
          <w:color w:val="525866"/>
          <w:sz w:val="22"/>
        </w:rPr>
        <w:t xml:space="preserve">CoreSite delivered another record leasing quarter: </w:t>
      </w:r>
      <w:r>
        <w:rPr>
          <w:rFonts w:ascii="Calibri" w:hAnsi="Calibri"/>
          <w:color w:val="525866"/>
          <w:sz w:val="22"/>
        </w:rPr>
        <w:t>AMT reported that CoreSite delivered “another record leasing performance” in Q2 2026, with more new business added than in the entire year of 2021. Data center cash revenue growth was approximately 12% YoY (ex-straight-line), and AMT raised its full-year data center growth outlook to ~15% YoY (from 13% prior). This is a strong positive read-through for EQIX’s own colocation and interconnection bookings.</w:t>
      </w:r>
    </w:p>
    <w:p>
      <w:pPr>
        <w:pStyle w:val="ListBullet"/>
        <w:ind w:left="360" w:hanging="360"/>
      </w:pPr>
      <w:r>
        <w:rPr>
          <w:rFonts w:ascii="Calibri" w:hAnsi="Calibri"/>
          <w:b/>
          <w:color w:val="525866"/>
          <w:sz w:val="22"/>
        </w:rPr>
        <w:t xml:space="preserve">AI workloads accelerating into colocation: </w:t>
      </w:r>
      <w:r>
        <w:rPr>
          <w:rFonts w:ascii="Calibri" w:hAnsi="Calibri"/>
          <w:color w:val="525866"/>
          <w:sz w:val="22"/>
        </w:rPr>
        <w:t>AMT noted that “9 of the top 10 AI companies and 3 of the top 5 neo-clouds are deployed within CoreSite facilities,” establishing private on-ramps for direct data transfer between cloud and AI environments. AMT described a “virtuous cycle” where the interconnection environment accelerates traditional business as customers trade more data. EQIX has an even stronger position (8 of top 10 AI model providers, 4 of top 5 neo-clouds), suggesting similar or stronger dynamics.</w:t>
      </w:r>
    </w:p>
    <w:p>
      <w:pPr>
        <w:pStyle w:val="ListBullet"/>
        <w:ind w:left="360" w:hanging="360"/>
      </w:pPr>
      <w:r>
        <w:rPr>
          <w:rFonts w:ascii="Calibri" w:hAnsi="Calibri"/>
          <w:b/>
          <w:color w:val="525866"/>
          <w:sz w:val="22"/>
        </w:rPr>
        <w:t xml:space="preserve">Significant interconnection inflection in Q2: </w:t>
      </w:r>
      <w:r>
        <w:rPr>
          <w:rFonts w:ascii="Calibri" w:hAnsi="Calibri"/>
          <w:color w:val="525866"/>
          <w:sz w:val="22"/>
        </w:rPr>
        <w:t>AMT noted “a significant inflection in interconnection activity” in Q2, partially driven by AI and continued cloud adoption. This directly validates EQIX’s interconnection growth narrative and suggests Q2 interconnection net adds could be strong.</w:t>
      </w:r>
    </w:p>
    <w:p>
      <w:pPr>
        <w:pStyle w:val="ListBullet"/>
        <w:ind w:left="360" w:hanging="360"/>
      </w:pPr>
      <w:r>
        <w:rPr>
          <w:rFonts w:ascii="Calibri" w:hAnsi="Calibri"/>
          <w:b/>
          <w:color w:val="525866"/>
          <w:sz w:val="22"/>
        </w:rPr>
        <w:t xml:space="preserve">Pricing discipline and dynamic pricing: </w:t>
      </w:r>
      <w:r>
        <w:rPr>
          <w:rFonts w:ascii="Calibri" w:hAnsi="Calibri"/>
          <w:color w:val="525866"/>
          <w:sz w:val="22"/>
        </w:rPr>
        <w:t>AMT noted that the demand environment is “so robust and pricing is dynamic,” leading the company to be cautious about pre-leasing everything to avoid underpricing. This pricing discipline is consistent with EQIX’s own firm pricing environment commentary and MRR per cabinet growth trajectory.</w:t>
      </w:r>
    </w:p>
    <w:p>
      <w:pPr>
        <w:pStyle w:val="ListBullet"/>
        <w:ind w:left="360" w:hanging="360"/>
      </w:pPr>
      <w:r>
        <w:rPr>
          <w:rFonts w:ascii="Calibri" w:hAnsi="Calibri"/>
          <w:b/>
          <w:color w:val="525866"/>
          <w:sz w:val="22"/>
        </w:rPr>
        <w:t xml:space="preserve">Development pipeline nearly tripling capacity: </w:t>
      </w:r>
      <w:r>
        <w:rPr>
          <w:rFonts w:ascii="Calibri" w:hAnsi="Calibri"/>
          <w:color w:val="525866"/>
          <w:sz w:val="22"/>
        </w:rPr>
        <w:t>AMT’s CoreSite development pipeline provides a clear path to nearly triple capacity, with ~$700M of the $1.9B capital program allocated to data centers in 2026. This level of investment signals conviction in the multi-year demand outlook, consistent with EQIX’s Build Bolder strategy.</w:t>
      </w:r>
    </w:p>
    <w:p>
      <w:pPr>
        <w:pStyle w:val="Heading3"/>
      </w:pPr>
      <w:r>
        <w:rPr>
          <w:rFonts w:ascii="Calibri" w:hAnsi="Calibri"/>
          <w:b/>
          <w:color w:val="3B4259"/>
          <w:sz w:val="24"/>
        </w:rPr>
        <w:t>American Tower / CoreSite (AMT) — Nareit REITweek Conference (June 3, 2026)</w:t>
      </w:r>
    </w:p>
    <w:p>
      <w:r>
        <w:rPr>
          <w:rFonts w:ascii="Calibri" w:hAnsi="Calibri"/>
          <w:b/>
          <w:color w:val="525866"/>
          <w:sz w:val="22"/>
        </w:rPr>
        <w:t xml:space="preserve">Read-Through Relevance: </w:t>
      </w:r>
      <w:r>
        <w:rPr>
          <w:rFonts w:ascii="Calibri" w:hAnsi="Calibri"/>
          <w:color w:val="525866"/>
          <w:sz w:val="22"/>
        </w:rPr>
        <w:t>AMT CEO Steven Vondran provided detailed commentary on the data center and interconnection market environment for Q2 2026 at the Nareit conference, directly relevant to EQIX’s setup.</w:t>
      </w:r>
    </w:p>
    <w:p>
      <w:pPr>
        <w:pStyle w:val="ListBullet"/>
        <w:ind w:left="360" w:hanging="360"/>
      </w:pPr>
      <w:r>
        <w:rPr>
          <w:rFonts w:ascii="Calibri" w:hAnsi="Calibri"/>
          <w:b/>
          <w:color w:val="525866"/>
          <w:sz w:val="22"/>
        </w:rPr>
        <w:t xml:space="preserve">CoreSite growing double digits with “phenomenal returns”: </w:t>
      </w:r>
      <w:r>
        <w:rPr>
          <w:rFonts w:ascii="Calibri" w:hAnsi="Calibri"/>
          <w:color w:val="525866"/>
          <w:sz w:val="22"/>
        </w:rPr>
        <w:t>Vondran described CoreSite as “growing double digits in the U.S. with phenomenal returns,” with mid-teens or better stabilized returns that improve to the 20s over time. This validates the return profile of interconnection-rich colocation assets like EQIX’s portfolio.</w:t>
      </w:r>
    </w:p>
    <w:p>
      <w:pPr>
        <w:pStyle w:val="ListBullet"/>
        <w:ind w:left="360" w:hanging="360"/>
      </w:pPr>
      <w:r>
        <w:rPr>
          <w:rFonts w:ascii="Calibri" w:hAnsi="Calibri"/>
          <w:b/>
          <w:color w:val="525866"/>
          <w:sz w:val="22"/>
        </w:rPr>
        <w:t xml:space="preserve">AI inferencing entering colocation facilities: </w:t>
      </w:r>
      <w:r>
        <w:rPr>
          <w:rFonts w:ascii="Calibri" w:hAnsi="Calibri"/>
          <w:color w:val="525866"/>
          <w:sz w:val="22"/>
        </w:rPr>
        <w:t>Vondran noted that “AI inferencing is just as dependent on that distribution as the cloud on-ramps were,” and that CoreSite campuses are becoming critical destinations for AI traffic. This is a direct read-through for EQIX’s AI inferencing ecosystem positioning.</w:t>
      </w:r>
    </w:p>
    <w:p>
      <w:pPr>
        <w:pStyle w:val="ListBullet"/>
        <w:ind w:left="360" w:hanging="360"/>
      </w:pPr>
      <w:r>
        <w:rPr>
          <w:rFonts w:ascii="Calibri" w:hAnsi="Calibri"/>
          <w:b/>
          <w:color w:val="525866"/>
          <w:sz w:val="22"/>
        </w:rPr>
        <w:t xml:space="preserve">Interconnection moat explicitly acknowledged: </w:t>
      </w:r>
      <w:r>
        <w:rPr>
          <w:rFonts w:ascii="Calibri" w:hAnsi="Calibri"/>
          <w:color w:val="525866"/>
          <w:sz w:val="22"/>
        </w:rPr>
        <w:t>AMT management stated CoreSite’s interconnection level is “only second behind Equinix,” reinforcing EQIX’s dominant position in the interconnection market and the defensibility of its ecosystem moat.</w:t>
      </w:r>
    </w:p>
    <w:p>
      <w:pPr>
        <w:pStyle w:val="Heading3"/>
      </w:pPr>
      <w:r>
        <w:rPr>
          <w:rFonts w:ascii="Calibri" w:hAnsi="Calibri"/>
          <w:b/>
          <w:color w:val="3B4259"/>
          <w:sz w:val="24"/>
        </w:rPr>
        <w:t>American Tower / CoreSite (AMT) — JP Morgan TMC Conference (May 19, 2026) &amp; Moffett Nathanson Conference (May 14, 2026)</w:t>
      </w:r>
    </w:p>
    <w:p>
      <w:r>
        <w:rPr>
          <w:rFonts w:ascii="Calibri" w:hAnsi="Calibri"/>
          <w:b/>
          <w:color w:val="525866"/>
          <w:sz w:val="22"/>
        </w:rPr>
        <w:t xml:space="preserve">Read-Through Relevance: </w:t>
      </w:r>
      <w:r>
        <w:rPr>
          <w:rFonts w:ascii="Calibri" w:hAnsi="Calibri"/>
          <w:color w:val="525866"/>
          <w:sz w:val="22"/>
        </w:rPr>
        <w:t>AMT CFO Rodney Smith provided detailed commentary on the data center demand environment and CoreSite’s performance trajectory for Q2 2026 at two investor conferences in May.</w:t>
      </w:r>
    </w:p>
    <w:p>
      <w:pPr>
        <w:pStyle w:val="ListBullet"/>
        <w:ind w:left="360" w:hanging="360"/>
      </w:pPr>
      <w:r>
        <w:rPr>
          <w:rFonts w:ascii="Calibri" w:hAnsi="Calibri"/>
          <w:b/>
          <w:color w:val="525866"/>
          <w:sz w:val="22"/>
        </w:rPr>
        <w:t xml:space="preserve">Record new business pipeline and double-digit growth: </w:t>
      </w:r>
      <w:r>
        <w:rPr>
          <w:rFonts w:ascii="Calibri" w:hAnsi="Calibri"/>
          <w:color w:val="525866"/>
          <w:sz w:val="22"/>
        </w:rPr>
        <w:t>Smith described “a number of record-setting new business years in a row” with demand and pipeline “continuing to be strong.” CoreSite was experiencing “double-digit revenue growth” and “getting to stabilized yields faster.” This is a positive read-through for EQIX’s own bookings and revenue trajectory.</w:t>
      </w:r>
    </w:p>
    <w:p>
      <w:pPr>
        <w:pStyle w:val="ListBullet"/>
        <w:ind w:left="360" w:hanging="360"/>
      </w:pPr>
      <w:r>
        <w:rPr>
          <w:rFonts w:ascii="Calibri" w:hAnsi="Calibri"/>
          <w:b/>
          <w:color w:val="525866"/>
          <w:sz w:val="22"/>
        </w:rPr>
        <w:t xml:space="preserve">Private AI deployments arriving earlier than expected: </w:t>
      </w:r>
      <w:r>
        <w:rPr>
          <w:rFonts w:ascii="Calibri" w:hAnsi="Calibri"/>
          <w:color w:val="525866"/>
          <w:sz w:val="22"/>
        </w:rPr>
        <w:t>Smith noted that “private AI deployments” were “not expected until 2028” but are already occurring, and described this as “additive” to existing business rather than cannibalistic. This is a positive read-through for EQIX’s enterprise AI demand and Distributed AI Hub product.</w:t>
      </w:r>
    </w:p>
    <w:p>
      <w:pPr>
        <w:pStyle w:val="ListBullet"/>
        <w:ind w:left="360" w:hanging="360"/>
      </w:pPr>
      <w:r>
        <w:rPr>
          <w:rFonts w:ascii="Calibri" w:hAnsi="Calibri"/>
          <w:b/>
          <w:color w:val="525866"/>
          <w:sz w:val="22"/>
        </w:rPr>
        <w:t xml:space="preserve">Enterprise hybrid cloud pull-out from public cloud: </w:t>
      </w:r>
      <w:r>
        <w:rPr>
          <w:rFonts w:ascii="Calibri" w:hAnsi="Calibri"/>
          <w:color w:val="525866"/>
          <w:sz w:val="22"/>
        </w:rPr>
        <w:t>Smith described enterprises “pulling things out of the cloud and putting it in CoreSite” to access cloud on-ramps, a trend that directly benefits interconnection-rich colocation providers like EQIX. This validates EQIX’s narrative around enterprise AI infrastructure demand.</w:t>
      </w:r>
    </w:p>
    <w:p>
      <w:pPr>
        <w:pStyle w:val="ListBullet"/>
        <w:ind w:left="360" w:hanging="360"/>
      </w:pPr>
      <w:r>
        <w:rPr>
          <w:rFonts w:ascii="Calibri" w:hAnsi="Calibri"/>
          <w:b/>
          <w:color w:val="525866"/>
          <w:sz w:val="22"/>
        </w:rPr>
        <w:t xml:space="preserve">CapEx ramping significantly: </w:t>
      </w:r>
      <w:r>
        <w:rPr>
          <w:rFonts w:ascii="Calibri" w:hAnsi="Calibri"/>
          <w:color w:val="525866"/>
          <w:sz w:val="22"/>
        </w:rPr>
        <w:t>AMT increased annual CoreSite CapEx from $200M to $800M per year, with potential for continued elevation. This level of investment signals conviction in the multi-year demand outlook and is consistent with EQIX’s own Build Bolder strategy.</w:t>
      </w:r>
    </w:p>
    <w:p>
      <w:pPr>
        <w:pStyle w:val="Heading3"/>
      </w:pPr>
      <w:r>
        <w:rPr>
          <w:rFonts w:ascii="Calibri" w:hAnsi="Calibri"/>
          <w:b/>
          <w:color w:val="3B4259"/>
          <w:sz w:val="24"/>
        </w:rPr>
        <w:t>Digital Realty (DLR) — Nareit REITweek Conference (June 3, 2026)</w:t>
      </w:r>
    </w:p>
    <w:p>
      <w:r>
        <w:rPr>
          <w:rFonts w:ascii="Calibri" w:hAnsi="Calibri"/>
          <w:b/>
          <w:color w:val="525866"/>
          <w:sz w:val="22"/>
        </w:rPr>
        <w:t xml:space="preserve">Read-Through Relevance: </w:t>
      </w:r>
      <w:r>
        <w:rPr>
          <w:rFonts w:ascii="Calibri" w:hAnsi="Calibri"/>
          <w:color w:val="525866"/>
          <w:sz w:val="22"/>
        </w:rPr>
        <w:t>DLR CEO Andy Power provided detailed commentary on the data center market environment for Q2 2026 at Nareit, with several direct read-throughs for EQIX.</w:t>
      </w:r>
    </w:p>
    <w:p>
      <w:pPr>
        <w:pStyle w:val="ListBullet"/>
        <w:ind w:left="360" w:hanging="360"/>
      </w:pPr>
      <w:r>
        <w:rPr>
          <w:rFonts w:ascii="Calibri" w:hAnsi="Calibri"/>
          <w:b/>
          <w:color w:val="525866"/>
          <w:sz w:val="22"/>
        </w:rPr>
        <w:t xml:space="preserve">Demand “firing on all cylinders” with record enterprise colo bookings: </w:t>
      </w:r>
      <w:r>
        <w:rPr>
          <w:rFonts w:ascii="Calibri" w:hAnsi="Calibri"/>
          <w:color w:val="525866"/>
          <w:sz w:val="22"/>
        </w:rPr>
        <w:t>Power described demand as “firing on all cylinders across the board” with “tremendous, not just robustness of demand, but real diversity of demand.” DLR’s enterprise colo business had “fabulous new logo additions” and “record contribution to 0–1MW across regionals,” with “velocity and fundamentals continu[ing] into the months we’re working on right now.” This is a direct positive read-through for EQIX’s Q2 2026 bookings.</w:t>
      </w:r>
    </w:p>
    <w:p>
      <w:pPr>
        <w:pStyle w:val="ListBullet"/>
        <w:ind w:left="360" w:hanging="360"/>
      </w:pPr>
      <w:r>
        <w:rPr>
          <w:rFonts w:ascii="Calibri" w:hAnsi="Calibri"/>
          <w:b/>
          <w:color w:val="525866"/>
          <w:sz w:val="22"/>
        </w:rPr>
        <w:t xml:space="preserve">Largest lease signing in company history — AI inference: </w:t>
      </w:r>
      <w:r>
        <w:rPr>
          <w:rFonts w:ascii="Calibri" w:hAnsi="Calibri"/>
          <w:color w:val="525866"/>
          <w:sz w:val="22"/>
        </w:rPr>
        <w:t>DLR signed “the largest lease signing in the history of the company” with an “AA-rated hyperscaler AI inference” customer in Charlotte, with the lease described as “the first half of that transaction.” This validates the scale of AI inference demand entering colocation facilities and is a positive read-through for EQIX’s xScale and large-footprint retail pipeline.</w:t>
      </w:r>
    </w:p>
    <w:p>
      <w:pPr>
        <w:pStyle w:val="ListBullet"/>
        <w:ind w:left="360" w:hanging="360"/>
      </w:pPr>
      <w:r>
        <w:rPr>
          <w:rFonts w:ascii="Calibri" w:hAnsi="Calibri"/>
          <w:b/>
          <w:color w:val="525866"/>
          <w:sz w:val="22"/>
        </w:rPr>
        <w:t xml:space="preserve">Pricing “continuing to grind higher” with no pushback: </w:t>
      </w:r>
      <w:r>
        <w:rPr>
          <w:rFonts w:ascii="Calibri" w:hAnsi="Calibri"/>
          <w:color w:val="525866"/>
          <w:sz w:val="22"/>
        </w:rPr>
        <w:t>Power stated prices are “continuing to grind higher” with “obvious and very clear supply-demand dynamics” and “no pushback” from customers. Pre-leasing on the development pipeline was “north of 60%.” This is a direct positive read-through for EQIX’s MRR per cabinet yield and pricing power.</w:t>
      </w:r>
    </w:p>
    <w:p>
      <w:pPr>
        <w:pStyle w:val="ListBullet"/>
        <w:ind w:left="360" w:hanging="360"/>
      </w:pPr>
      <w:r>
        <w:rPr>
          <w:rFonts w:ascii="Calibri" w:hAnsi="Calibri"/>
          <w:b/>
          <w:color w:val="525866"/>
          <w:sz w:val="22"/>
        </w:rPr>
        <w:t xml:space="preserve">Supply constraints structural and long-lasting: </w:t>
      </w:r>
      <w:r>
        <w:rPr>
          <w:rFonts w:ascii="Calibri" w:hAnsi="Calibri"/>
          <w:color w:val="525866"/>
          <w:sz w:val="22"/>
        </w:rPr>
        <w:t>Power described “tremendous tightness” in land, supply chains, and labor, with supply “being curtailed for long durations of time.” He noted that “the proverbial 2 guys in a pickup truck that tied up dirt are done,” signaling a shakeout of undercapitalized competitors. This structural supply constraint is a long-term positive for EQIX’s pricing power and utilization.</w:t>
      </w:r>
    </w:p>
    <w:p>
      <w:pPr>
        <w:pStyle w:val="ListBullet"/>
        <w:ind w:left="360" w:hanging="360"/>
      </w:pPr>
      <w:r>
        <w:rPr>
          <w:rFonts w:ascii="Calibri" w:hAnsi="Calibri"/>
          <w:b/>
          <w:color w:val="525866"/>
          <w:sz w:val="22"/>
        </w:rPr>
        <w:t xml:space="preserve">Backlog of $1.8B providing “multiple years of growth”: </w:t>
      </w:r>
      <w:r>
        <w:rPr>
          <w:rFonts w:ascii="Calibri" w:hAnsi="Calibri"/>
          <w:color w:val="525866"/>
          <w:sz w:val="22"/>
        </w:rPr>
        <w:t>DLR had a backlog of $1.8B of gross revenue “for multiple years of growth” after just one quarter reported, with full-year growth trending “north of 9%.” This visibility into multi-year revenue growth is consistent with EQIX’s own record backlog commentary from Q1 2026.</w:t>
      </w:r>
    </w:p>
    <w:p>
      <w:r>
        <w:rPr>
          <w:rFonts w:ascii="Calibri" w:hAnsi="Calibri"/>
          <w:b/>
          <w:color w:val="525866"/>
          <w:sz w:val="22"/>
        </w:rPr>
        <w:t xml:space="preserve">Overall Peer Read-Through Summary: </w:t>
      </w:r>
      <w:r>
        <w:rPr>
          <w:rFonts w:ascii="Calibri" w:hAnsi="Calibri"/>
          <w:color w:val="525866"/>
          <w:sz w:val="22"/>
        </w:rPr>
        <w:t>The peer commentary from DLR (Q2 2026 earnings) and AMT/CoreSite (Q2 2026 earnings, Nareit, JPM, Moffett Nathanson conferences) is uniformly positive across all dimensions relevant to EQIX: AI-driven colocation demand accelerating, interconnection inflecting higher, pricing power intact with no pushback, supply constraints tightening, and enterprise hybrid cloud demand broadening. DLR’s record Q2 print on July 23 is the most direct and timely read-through, and the stock’s +5% reaction on July 24 suggests the market is already pricing in some of this positive read-through for EQIX.</w:t>
      </w:r>
    </w:p>
    <w:p>
      <w:r>
        <w:br w:type="page"/>
      </w:r>
    </w:p>
    <w:p>
      <w:pPr>
        <w:pStyle w:val="Heading2"/>
      </w:pPr>
      <w:r>
        <w:rPr>
          <w:rFonts w:ascii="Calibri" w:hAnsi="Calibri"/>
          <w:b/>
          <w:color w:val="3B4259"/>
          <w:sz w:val="28"/>
        </w:rPr>
        <w:t>7. Material News &amp; Developments</w:t>
      </w:r>
    </w:p>
    <w:p>
      <w:r>
        <w:rPr>
          <w:rFonts w:ascii="Calibri" w:hAnsi="Calibri"/>
          <w:b/>
          <w:color w:val="525866"/>
          <w:sz w:val="22"/>
        </w:rPr>
        <w:t xml:space="preserve">Key Takeaway: </w:t>
      </w:r>
      <w:r>
        <w:rPr>
          <w:rFonts w:ascii="Calibri" w:hAnsi="Calibri"/>
          <w:color w:val="525866"/>
          <w:sz w:val="22"/>
        </w:rPr>
        <w:t>The most important development since Q1 2026 earnings is the departure of Chief Business Officer Jon Lin (effective July 18), which adds leadership uncertainty at a critical juncture; partially offset by the CFO’s Nareit reaffirmation of full-year targets and DLR’s record Q2 print as a sector tailwind.</w:t>
      </w:r>
    </w:p>
    <w:p>
      <w:pPr>
        <w:pStyle w:val="ListBullet"/>
        <w:ind w:left="360" w:hanging="360"/>
      </w:pPr>
      <w:r>
        <w:rPr>
          <w:rFonts w:ascii="Calibri" w:hAnsi="Calibri"/>
          <w:b/>
          <w:color w:val="525866"/>
          <w:sz w:val="22"/>
        </w:rPr>
        <w:t xml:space="preserve">July 23, 2026 — Digital Realty (DLR) Q2 2026 Record Earnings: </w:t>
      </w:r>
      <w:r>
        <w:rPr>
          <w:rFonts w:ascii="Calibri" w:hAnsi="Calibri"/>
          <w:color w:val="525866"/>
          <w:sz w:val="22"/>
        </w:rPr>
        <w:t xml:space="preserve">DLR reported record Q2 2026 results with $108M of 0–1MW+ interconnection bookings (third consecutive quarterly record), renewal spreads surging to a record 25%+, and total backlog reaching a new record of $1.9B. DLR raised full-year guidance. </w:t>
      </w:r>
      <w:r>
        <w:rPr>
          <w:rFonts w:ascii="Calibri" w:hAnsi="Calibri"/>
          <w:b/>
          <w:color w:val="525866"/>
          <w:sz w:val="22"/>
        </w:rPr>
        <w:t xml:space="preserve">Implication: </w:t>
      </w:r>
      <w:r>
        <w:rPr>
          <w:rFonts w:ascii="Calibri" w:hAnsi="Calibri"/>
          <w:color w:val="525866"/>
          <w:sz w:val="22"/>
        </w:rPr>
        <w:t>Strongest possible sector read-through for EQIX; drove a +5% sector rally on July 24 that partially closed EQIX’s underperformance gap.</w:t>
      </w:r>
    </w:p>
    <w:p>
      <w:pPr>
        <w:pStyle w:val="ListBullet"/>
        <w:ind w:left="360" w:hanging="360"/>
      </w:pPr>
      <w:r>
        <w:rPr>
          <w:rFonts w:ascii="Calibri" w:hAnsi="Calibri"/>
          <w:b/>
          <w:color w:val="525866"/>
          <w:sz w:val="22"/>
        </w:rPr>
        <w:t xml:space="preserve">July 14, 2026 — Chief Business Officer Jon Lin Departure (8-K): </w:t>
      </w:r>
      <w:r>
        <w:rPr>
          <w:rFonts w:ascii="Calibri" w:hAnsi="Calibri"/>
          <w:color w:val="525866"/>
          <w:sz w:val="22"/>
        </w:rPr>
        <w:t xml:space="preserve">Equinix announced that Jon Lin, Chief Business Officer, will separate from the company effective July 18, 2026. Responsibilities are being distributed across the existing senior leadership team, and a new Chief Product Officer is expected to be announced. Lin is entitled to payments under the Executive Severance Plan. </w:t>
      </w:r>
      <w:r>
        <w:rPr>
          <w:rFonts w:ascii="Calibri" w:hAnsi="Calibri"/>
          <w:b/>
          <w:color w:val="525866"/>
          <w:sz w:val="22"/>
        </w:rPr>
        <w:t xml:space="preserve">Implication: </w:t>
      </w:r>
      <w:r>
        <w:rPr>
          <w:rFonts w:ascii="Calibri" w:hAnsi="Calibri"/>
          <w:color w:val="525866"/>
          <w:sz w:val="22"/>
        </w:rPr>
        <w:t>Adds leadership uncertainty at a critical growth execution phase; the CBO role oversaw product and go-to-market strategy. The planned CPO announcement is a partial offset, but the timing — one quarter before a major earnings print — is a modest negative overhang.</w:t>
      </w:r>
    </w:p>
    <w:p>
      <w:pPr>
        <w:pStyle w:val="ListBullet"/>
        <w:ind w:left="360" w:hanging="360"/>
      </w:pPr>
      <w:r>
        <w:rPr>
          <w:rFonts w:ascii="Calibri" w:hAnsi="Calibri"/>
          <w:b/>
          <w:color w:val="525866"/>
          <w:sz w:val="22"/>
        </w:rPr>
        <w:t xml:space="preserve">June 2026 — CFO Nareit REITweek Reaffirmation: </w:t>
      </w:r>
      <w:r>
        <w:rPr>
          <w:rFonts w:ascii="Calibri" w:hAnsi="Calibri"/>
          <w:color w:val="525866"/>
          <w:sz w:val="22"/>
        </w:rPr>
        <w:t xml:space="preserve">New CFO Olivier Lionetti confirmed at the Nareit conference that double-digit recurring revenue growth continued into Q2 2026, consistent with Q1 performance, and reiterated full-year targets for recurring revenue growth and AFFO/share growth. Build plans described as “well on track” with capacity and financing constraints “solved.” </w:t>
      </w:r>
      <w:r>
        <w:rPr>
          <w:rFonts w:ascii="Calibri" w:hAnsi="Calibri"/>
          <w:b/>
          <w:color w:val="525866"/>
          <w:sz w:val="22"/>
        </w:rPr>
        <w:t xml:space="preserve">Implication: </w:t>
      </w:r>
      <w:r>
        <w:rPr>
          <w:rFonts w:ascii="Calibri" w:hAnsi="Calibri"/>
          <w:color w:val="525866"/>
          <w:sz w:val="22"/>
        </w:rPr>
        <w:t>Positive tone reaffirmation from the new CFO in his first major public appearance; reduces risk of a guidance cut and sets a constructive tone heading into Q2 earnings.</w:t>
      </w:r>
    </w:p>
    <w:p>
      <w:pPr>
        <w:pStyle w:val="ListBullet"/>
        <w:ind w:left="360" w:hanging="360"/>
      </w:pPr>
      <w:r>
        <w:rPr>
          <w:rFonts w:ascii="Calibri" w:hAnsi="Calibri"/>
          <w:b/>
          <w:color w:val="525866"/>
          <w:sz w:val="22"/>
        </w:rPr>
        <w:t xml:space="preserve">May 14, 2026 — Data Sovereignty Product Launch (Press Release): </w:t>
      </w:r>
      <w:r>
        <w:rPr>
          <w:rFonts w:ascii="Calibri" w:hAnsi="Calibri"/>
          <w:color w:val="525866"/>
          <w:sz w:val="22"/>
        </w:rPr>
        <w:t xml:space="preserve">Equinix launched a new product enabling enterprises to control data sovereignty across hybrid multicloud environments. </w:t>
      </w:r>
      <w:r>
        <w:rPr>
          <w:rFonts w:ascii="Calibri" w:hAnsi="Calibri"/>
          <w:b/>
          <w:color w:val="525866"/>
          <w:sz w:val="22"/>
        </w:rPr>
        <w:t xml:space="preserve">Implication: </w:t>
      </w:r>
      <w:r>
        <w:rPr>
          <w:rFonts w:ascii="Calibri" w:hAnsi="Calibri"/>
          <w:color w:val="525866"/>
          <w:sz w:val="22"/>
        </w:rPr>
        <w:t>Reinforces EQIX’s positioning for enterprise AI and agentic AI workloads requiring distributed, sovereign-by-design infrastructure; supports the Distributed AI Hub narrative.</w:t>
      </w:r>
    </w:p>
    <w:p>
      <w:pPr>
        <w:pStyle w:val="ListBullet"/>
        <w:ind w:left="360" w:hanging="360"/>
      </w:pPr>
      <w:r>
        <w:rPr>
          <w:rFonts w:ascii="Calibri" w:hAnsi="Calibri"/>
          <w:b/>
          <w:color w:val="525866"/>
          <w:sz w:val="22"/>
        </w:rPr>
        <w:t xml:space="preserve">May 11, 2026 — Chief Accounting Officer Simon Miller Retirement (8-K): </w:t>
      </w:r>
      <w:r>
        <w:rPr>
          <w:rFonts w:ascii="Calibri" w:hAnsi="Calibri"/>
          <w:color w:val="525866"/>
          <w:sz w:val="22"/>
        </w:rPr>
        <w:t xml:space="preserve">Equinix announced that Chief Accounting Officer Simon Miller will retire. </w:t>
      </w:r>
      <w:r>
        <w:rPr>
          <w:rFonts w:ascii="Calibri" w:hAnsi="Calibri"/>
          <w:b/>
          <w:color w:val="525866"/>
          <w:sz w:val="22"/>
        </w:rPr>
        <w:t xml:space="preserve">Implication: </w:t>
      </w:r>
      <w:r>
        <w:rPr>
          <w:rFonts w:ascii="Calibri" w:hAnsi="Calibri"/>
          <w:color w:val="525866"/>
          <w:sz w:val="22"/>
        </w:rPr>
        <w:t>Second senior finance departure in a short period (following CFO transition in March 2026); adds modest uncertainty around financial reporting continuity, though the new CFO is well-established.</w:t>
      </w:r>
    </w:p>
    <w:p>
      <w:pPr>
        <w:pStyle w:val="ListBullet"/>
        <w:ind w:left="360" w:hanging="360"/>
      </w:pPr>
      <w:r>
        <w:rPr>
          <w:rFonts w:ascii="Calibri" w:hAnsi="Calibri"/>
          <w:b/>
          <w:color w:val="525866"/>
          <w:sz w:val="22"/>
        </w:rPr>
        <w:t xml:space="preserve">May 7, 2026 — Senior Notes Offering (8-K): </w:t>
      </w:r>
      <w:r>
        <w:rPr>
          <w:rFonts w:ascii="Calibri" w:hAnsi="Calibri"/>
          <w:color w:val="525866"/>
          <w:sz w:val="22"/>
        </w:rPr>
        <w:t xml:space="preserve">Equinix’s subsidiary finalized a senior notes offering, consistent with the debt-first capital allocation strategy articulated by the new CFO. </w:t>
      </w:r>
      <w:r>
        <w:rPr>
          <w:rFonts w:ascii="Calibri" w:hAnsi="Calibri"/>
          <w:b/>
          <w:color w:val="525866"/>
          <w:sz w:val="22"/>
        </w:rPr>
        <w:t xml:space="preserve">Implication: </w:t>
      </w:r>
      <w:r>
        <w:rPr>
          <w:rFonts w:ascii="Calibri" w:hAnsi="Calibri"/>
          <w:color w:val="525866"/>
          <w:sz w:val="22"/>
        </w:rPr>
        <w:t>Supports the Build Bolder CapEx program; leverage remains within the 4.5x target range. No change to financial outlook.</w:t>
      </w:r>
    </w:p>
    <w:p>
      <w:pPr>
        <w:pStyle w:val="ListBullet"/>
        <w:ind w:left="360" w:hanging="360"/>
      </w:pPr>
      <w:r>
        <w:rPr>
          <w:rFonts w:ascii="Calibri" w:hAnsi="Calibri"/>
          <w:b/>
          <w:color w:val="525866"/>
          <w:sz w:val="22"/>
        </w:rPr>
        <w:t xml:space="preserve">May 15, 2026 — Annual Meeting: Shareholders Reelect Board, Reject Proposal to Lower Special Meeting Threshold (8-K): </w:t>
      </w:r>
      <w:r>
        <w:rPr>
          <w:rFonts w:ascii="Calibri" w:hAnsi="Calibri"/>
          <w:color w:val="525866"/>
          <w:sz w:val="22"/>
        </w:rPr>
        <w:t xml:space="preserve">Shareholders reelected the full board and rejected a shareholder proposal to lower the special meeting threshold. </w:t>
      </w:r>
      <w:r>
        <w:rPr>
          <w:rFonts w:ascii="Calibri" w:hAnsi="Calibri"/>
          <w:b/>
          <w:color w:val="525866"/>
          <w:sz w:val="22"/>
        </w:rPr>
        <w:t xml:space="preserve">Implication: </w:t>
      </w:r>
      <w:r>
        <w:rPr>
          <w:rFonts w:ascii="Calibri" w:hAnsi="Calibri"/>
          <w:color w:val="525866"/>
          <w:sz w:val="22"/>
        </w:rPr>
        <w:t>No governance disruption; board continuity maintained.</w:t>
      </w:r>
    </w:p>
    <w:p>
      <w:pPr>
        <w:pStyle w:val="ListBullet"/>
        <w:ind w:left="360" w:hanging="360"/>
      </w:pPr>
      <w:r>
        <w:rPr>
          <w:rFonts w:ascii="Calibri" w:hAnsi="Calibri"/>
          <w:b/>
          <w:color w:val="525866"/>
          <w:sz w:val="22"/>
        </w:rPr>
        <w:t xml:space="preserve">Analyst Rating Activity: </w:t>
      </w:r>
      <w:r>
        <w:rPr>
          <w:rFonts w:ascii="Calibri" w:hAnsi="Calibri"/>
          <w:color w:val="525866"/>
          <w:sz w:val="22"/>
        </w:rPr>
        <w:t>Consensus remains “Moderate Buy” with 20 Buy / 6 Hold / 0 Sell from 26 analysts. Average price target ~$1,153–$1,199, representing ~11–16% upside from current levels (~$1,035). Notable: Morgan Stanley raised PT from $1,075 to $1,250 (Overweight) in April 2026; Stifel maintained Buy at $1,250 (June 2026); Barclays maintained Hold at $1,130 (July 2026). No sell ratings.</w:t>
      </w:r>
    </w:p>
    <w:sectPr w:rsidR="00FC693F" w:rsidRPr="0006063C" w:rsidSect="00034616">
      <w:headerReference w:type="default" r:id="rId10"/>
      <w:footerReference w:type="default" r:id="rId11"/>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tabs>
        <w:tab w:pos="8640" w:val="right"/>
      </w:tabs>
      <w:spacing w:before="0" w:after="0" w:line="240" w:lineRule="auto"/>
      <w:jc w:val="left"/>
    </w:pPr>
    <w:r>
      <w:rPr>
        <w:rFonts w:ascii="Calibri" w:hAnsi="Calibri"/>
        <w:i/>
        <w:color w:val="525866"/>
        <w:sz w:val="20"/>
      </w:rPr>
      <w:t>We do the work, you make the call</w:t>
    </w:r>
    <w:r>
      <w:tab/>
    </w:r>
    <w:r>
      <w:rPr>
        <w:rFonts w:ascii="Calibri" w:hAnsi="Calibri"/>
        <w:i/>
        <w:color w:val="FB9120"/>
        <w:sz w:val="20"/>
      </w:rPr>
      <w:t>app.implied.com/trial</w:t>
    </w:r>
  </w:p>
</w:ftr>
</file>

<file path=word/header1.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tabs>
        <w:tab w:pos="8640" w:val="right"/>
      </w:tabs>
      <w:spacing w:before="0" w:after="0" w:line="240" w:lineRule="auto"/>
      <w:jc w:val="left"/>
    </w:pPr>
    <w:r>
      <w:drawing>
        <wp:inline xmlns:a="http://schemas.openxmlformats.org/drawingml/2006/main" xmlns:pic="http://schemas.openxmlformats.org/drawingml/2006/picture">
          <wp:extent cx="5486400" cy="274320"/>
          <wp:docPr id="1" name="Picture 1"/>
          <wp:cNvGraphicFramePr>
            <a:graphicFrameLocks noChangeAspect="1"/>
          </wp:cNvGraphicFramePr>
          <a:graphic>
            <a:graphicData uri="http://schemas.openxmlformats.org/drawingml/2006/picture">
              <pic:pic>
                <pic:nvPicPr>
                  <pic:cNvPr id="0" name="ImpliedPromotionalHeader.png"/>
                  <pic:cNvPicPr/>
                </pic:nvPicPr>
                <pic:blipFill>
                  <a:blip r:embed="rId1"/>
                  <a:stretch>
                    <a:fillRect/>
                  </a:stretch>
                </pic:blipFill>
                <pic:spPr>
                  <a:xfrm>
                    <a:off x="0" y="0"/>
                    <a:ext cx="5486400" cy="274320"/>
                  </a:xfrm>
                  <a:prstGeom prst="rect"/>
                </pic:spPr>
              </pic:pic>
            </a:graphicData>
          </a:graphic>
        </wp:inline>
      </w:drawing>
    </w: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rPr>
      <w:rFonts w:ascii="Calibri" w:hAnsi="Calibri"/>
      <w:sz w:val="22"/>
    </w:r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image" Target="media/image1.png"/><Relationship Id="rId10" Type="http://schemas.openxmlformats.org/officeDocument/2006/relationships/header" Target="header1.xml"/><Relationship Id="rId11"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