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Equinix, Inc. (EQIX)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Equinix, Inc.</w:t>
            </w:r>
          </w:p>
        </w:tc>
      </w:tr>
      <w:tr>
        <w:tc>
          <w:tcPr>
            <w:tcW w:type="dxa" w:w="4320"/>
          </w:tcPr>
          <w:p>
            <w:r>
              <w:rPr>
                <w:rFonts w:ascii="Calibri" w:hAnsi="Calibri"/>
                <w:b/>
                <w:sz w:val="22"/>
              </w:rPr>
              <w:t>Ticker</w:t>
            </w:r>
          </w:p>
        </w:tc>
        <w:tc>
          <w:tcPr>
            <w:tcW w:type="dxa" w:w="4320"/>
          </w:tcPr>
          <w:p>
            <w:r>
              <w:rPr>
                <w:rFonts w:ascii="Calibri" w:hAnsi="Calibri"/>
                <w:sz w:val="22"/>
              </w:rPr>
              <w:t>NASDAQ: EQIX</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 (conference call 5:30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AFFO per Share (growth)</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the CFO explicitly confirmed double-digit recurring revenue growth in Q2 at the June Nareit conference, the Hampton xScale lease economics are embedded in Q2 guidance, and peer read-throughs from DLR and AMT/Coresite signal record leasing and accelerating data center demand; the primary swing factor is whether bookings momentum and interconnection growth can sustain the record Q1 pace.</w:t>
      </w:r>
    </w:p>
    <w:p>
      <w:r>
        <w:rPr>
          <w:rFonts w:ascii="Calibri" w:hAnsi="Calibri"/>
          <w:color w:val="525866"/>
          <w:sz w:val="22"/>
        </w:rPr>
        <w:t xml:space="preserve">Equinix heads into Q2 2026 earnings with an unusually high degree of pre-visibility: CFO Olivier Leonetti confirmed at the June 3 Nareit REITweek conference that recurring revenue grew 10% year-over-year in both Q1 and Q2, directly in line with the full-year target, and that EBITDA margins are tracking at approximately 51% with AFFO per share growing at 10%. </w:t>
      </w:r>
      <w:r>
        <w:rPr>
          <w:rFonts w:ascii="Calibri" w:hAnsi="Calibri"/>
          <w:color w:val="525866"/>
          <w:sz w:val="22"/>
        </w:rPr>
        <w:t>The bar is set by Q2 guidance of $2.571–$2.611 billion in revenue and $1.349–$1.389 billion in Adjusted EBITDA (52–53% margin), with the Hampton xScale lease — worth approximately $80 million of revenue and $65 million of AFFO — now embedded in Q2 guidance after slipping from Q1.</w:t>
      </w:r>
      <w:r>
        <w:rPr>
          <w:rFonts w:ascii="Calibri" w:hAnsi="Calibri"/>
          <w:color w:val="525866"/>
          <w:sz w:val="22"/>
        </w:rPr>
        <w:t xml:space="preserve"> Consensus AFFO per share of ~$11.36 sits above the Q1 actual of $10.79, implying the Street has already priced in the Hampton contribution; the key question is whether organic bookings and interconnection can add incremental upside.</w:t>
      </w:r>
      <w:r>
        <w:rPr>
          <w:rFonts w:ascii="Calibri" w:hAnsi="Calibri"/>
          <w:color w:val="525866"/>
          <w:sz w:val="22"/>
        </w:rPr>
        <w:t xml:space="preserve"> The stock has pulled back roughly 5% over the past month (from ~$1,089 at the Q1 print to ~$1,035 as of July 27), underperforming XLRE and the S&amp;P 500 over the same window, suggesting the market is not pricing in a meaningful beat — which creates asymmetric upside if bookings and churn surprise favorably.</w:t>
      </w:r>
      <w:r>
        <w:rPr>
          <w:rFonts w:ascii="Calibri" w:hAnsi="Calibri"/>
          <w:color w:val="525866"/>
          <w:sz w:val="22"/>
        </w:rPr>
        <w:t xml:space="preserve"> The single biggest wildcard is the Hampton xScale lease: if it signed on expanded terms as guided, Q2 results should be clean; if there is any further delay or renegotiation, the headline miss risk re-emerges despite strong underlying operations.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the CFO pre-confirmed recurring revenue growth and margin trajectory at Nareit, reducing headline surprise risk; the bigger swing factor is annualized gross bookings (no consensus estimate available) and whether churn stays at the low end of guidance after Q1’s unusually favorable 1.7% print.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Revenue ($M)</w:t>
            </w:r>
          </w:p>
        </w:tc>
        <w:tc>
          <w:tcPr>
            <w:tcW w:type="dxa" w:w="1234"/>
          </w:tcPr>
          <w:p>
            <w:r>
              <w:rPr>
                <w:rFonts w:ascii="Calibri" w:hAnsi="Calibri"/>
                <w:sz w:val="22"/>
              </w:rPr>
              <w:t>$2,444M</w:t>
            </w:r>
          </w:p>
        </w:tc>
        <w:tc>
          <w:tcPr>
            <w:tcW w:type="dxa" w:w="1234"/>
          </w:tcPr>
          <w:p>
            <w:r>
              <w:rPr>
                <w:rFonts w:ascii="Calibri" w:hAnsi="Calibri"/>
                <w:sz w:val="22"/>
              </w:rPr>
              <w:t>$2,256M</w:t>
            </w:r>
          </w:p>
        </w:tc>
        <w:tc>
          <w:tcPr>
            <w:tcW w:type="dxa" w:w="1234"/>
          </w:tcPr>
          <w:p>
            <w:r>
              <w:rPr>
                <w:rFonts w:ascii="Calibri" w:hAnsi="Calibri"/>
                <w:sz w:val="22"/>
              </w:rPr>
              <w:t>$2,591M</w:t>
            </w:r>
          </w:p>
        </w:tc>
        <w:tc>
          <w:tcPr>
            <w:tcW w:type="dxa" w:w="1234"/>
          </w:tcPr>
          <w:p>
            <w:r>
              <w:rPr>
                <w:rFonts w:ascii="Calibri" w:hAnsi="Calibri"/>
                <w:sz w:val="22"/>
              </w:rPr>
              <w:t>+14.8%</w:t>
            </w:r>
          </w:p>
        </w:tc>
        <w:tc>
          <w:tcPr>
            <w:tcW w:type="dxa" w:w="1234"/>
          </w:tcPr>
          <w:p>
            <w:r>
              <w:rPr>
                <w:rFonts w:ascii="Calibri" w:hAnsi="Calibri"/>
                <w:sz w:val="22"/>
              </w:rPr>
              <w:t>$2,591M</w:t>
            </w:r>
          </w:p>
        </w:tc>
        <w:tc>
          <w:tcPr>
            <w:tcW w:type="dxa" w:w="1234"/>
          </w:tcPr>
          <w:p>
            <w:r>
              <w:rPr>
                <w:rFonts w:ascii="Calibri" w:hAnsi="Calibri"/>
                <w:sz w:val="22"/>
              </w:rPr>
              <w:t>~0.0%</w:t>
            </w:r>
          </w:p>
        </w:tc>
      </w:tr>
      <w:tr>
        <w:tc>
          <w:tcPr>
            <w:tcW w:type="dxa" w:w="1234"/>
          </w:tcPr>
          <w:p>
            <w:r>
              <w:rPr>
                <w:rFonts w:ascii="Calibri" w:hAnsi="Calibri"/>
                <w:sz w:val="22"/>
              </w:rPr>
              <w:t>Recurring Revenue ($M)</w:t>
            </w:r>
          </w:p>
        </w:tc>
        <w:tc>
          <w:tcPr>
            <w:tcW w:type="dxa" w:w="1234"/>
          </w:tcPr>
          <w:p>
            <w:r>
              <w:rPr>
                <w:rFonts w:ascii="Calibri" w:hAnsi="Calibri"/>
                <w:sz w:val="22"/>
              </w:rPr>
              <w:t>$2,331M</w:t>
            </w:r>
          </w:p>
        </w:tc>
        <w:tc>
          <w:tcPr>
            <w:tcW w:type="dxa" w:w="1234"/>
          </w:tcPr>
          <w:p>
            <w:r>
              <w:rPr>
                <w:rFonts w:ascii="Calibri" w:hAnsi="Calibri"/>
                <w:sz w:val="22"/>
              </w:rPr>
              <w:t>$2,143M</w:t>
            </w:r>
          </w:p>
        </w:tc>
        <w:tc>
          <w:tcPr>
            <w:tcW w:type="dxa" w:w="1234"/>
          </w:tcPr>
          <w:p>
            <w:r>
              <w:rPr>
                <w:rFonts w:ascii="Calibri" w:hAnsi="Calibri"/>
                <w:sz w:val="22"/>
              </w:rPr>
              <w:t>$2,410M</w:t>
            </w:r>
          </w:p>
        </w:tc>
        <w:tc>
          <w:tcPr>
            <w:tcW w:type="dxa" w:w="1234"/>
          </w:tcPr>
          <w:p>
            <w:r>
              <w:rPr>
                <w:rFonts w:ascii="Calibri" w:hAnsi="Calibri"/>
                <w:sz w:val="22"/>
              </w:rPr>
              <w:t>+12.5%</w:t>
            </w:r>
          </w:p>
        </w:tc>
        <w:tc>
          <w:tcPr>
            <w:tcW w:type="dxa" w:w="1234"/>
          </w:tcPr>
          <w:p>
            <w:r>
              <w:rPr>
                <w:rFonts w:ascii="Calibri" w:hAnsi="Calibri"/>
                <w:sz w:val="22"/>
              </w:rPr>
              <w:t>~10% YoY growth (mgmt confirmed)</w:t>
            </w:r>
          </w:p>
        </w:tc>
        <w:tc>
          <w:tcPr>
            <w:tcW w:type="dxa" w:w="1234"/>
          </w:tcPr>
          <w:p>
            <w:r>
              <w:rPr>
                <w:rFonts w:ascii="Calibri" w:hAnsi="Calibri"/>
                <w:sz w:val="22"/>
              </w:rPr>
              <w:t>~+0.1%</w:t>
            </w:r>
          </w:p>
        </w:tc>
      </w:tr>
      <w:tr>
        <w:tc>
          <w:tcPr>
            <w:tcW w:type="dxa" w:w="1234"/>
          </w:tcPr>
          <w:p>
            <w:r>
              <w:rPr>
                <w:rFonts w:ascii="Calibri" w:hAnsi="Calibri"/>
                <w:sz w:val="22"/>
              </w:rPr>
              <w:t>Adjusted EBITDA ($M)</w:t>
            </w:r>
          </w:p>
        </w:tc>
        <w:tc>
          <w:tcPr>
            <w:tcW w:type="dxa" w:w="1234"/>
          </w:tcPr>
          <w:p>
            <w:r>
              <w:rPr>
                <w:rFonts w:ascii="Calibri" w:hAnsi="Calibri"/>
                <w:sz w:val="22"/>
              </w:rPr>
              <w:t>$1,245M</w:t>
            </w:r>
          </w:p>
        </w:tc>
        <w:tc>
          <w:tcPr>
            <w:tcW w:type="dxa" w:w="1234"/>
          </w:tcPr>
          <w:p>
            <w:r>
              <w:rPr>
                <w:rFonts w:ascii="Calibri" w:hAnsi="Calibri"/>
                <w:sz w:val="22"/>
              </w:rPr>
              <w:t>$1,129M</w:t>
            </w:r>
          </w:p>
        </w:tc>
        <w:tc>
          <w:tcPr>
            <w:tcW w:type="dxa" w:w="1234"/>
          </w:tcPr>
          <w:p>
            <w:r>
              <w:rPr>
                <w:rFonts w:ascii="Calibri" w:hAnsi="Calibri"/>
                <w:sz w:val="22"/>
              </w:rPr>
              <w:t>$1,362M</w:t>
            </w:r>
          </w:p>
        </w:tc>
        <w:tc>
          <w:tcPr>
            <w:tcW w:type="dxa" w:w="1234"/>
          </w:tcPr>
          <w:p>
            <w:r>
              <w:rPr>
                <w:rFonts w:ascii="Calibri" w:hAnsi="Calibri"/>
                <w:sz w:val="22"/>
              </w:rPr>
              <w:t>+20.7%</w:t>
            </w:r>
          </w:p>
        </w:tc>
        <w:tc>
          <w:tcPr>
            <w:tcW w:type="dxa" w:w="1234"/>
          </w:tcPr>
          <w:p>
            <w:r>
              <w:rPr>
                <w:rFonts w:ascii="Calibri" w:hAnsi="Calibri"/>
                <w:sz w:val="22"/>
              </w:rPr>
              <w:t>$1,369M (52–53% margin)</w:t>
            </w:r>
          </w:p>
        </w:tc>
        <w:tc>
          <w:tcPr>
            <w:tcW w:type="dxa" w:w="1234"/>
          </w:tcPr>
          <w:p>
            <w:r>
              <w:rPr>
                <w:rFonts w:ascii="Calibri" w:hAnsi="Calibri"/>
                <w:sz w:val="22"/>
              </w:rPr>
              <w:t>~−0.5%</w:t>
            </w:r>
          </w:p>
        </w:tc>
      </w:tr>
      <w:tr>
        <w:tc>
          <w:tcPr>
            <w:tcW w:type="dxa" w:w="1234"/>
          </w:tcPr>
          <w:p>
            <w:r>
              <w:rPr>
                <w:rFonts w:ascii="Calibri" w:hAnsi="Calibri"/>
                <w:sz w:val="22"/>
              </w:rPr>
              <w:t>AFFO per Share (Diluted)</w:t>
            </w:r>
          </w:p>
        </w:tc>
        <w:tc>
          <w:tcPr>
            <w:tcW w:type="dxa" w:w="1234"/>
          </w:tcPr>
          <w:p>
            <w:r>
              <w:rPr>
                <w:rFonts w:ascii="Calibri" w:hAnsi="Calibri"/>
                <w:sz w:val="22"/>
              </w:rPr>
              <w:t>$10.79</w:t>
            </w:r>
          </w:p>
        </w:tc>
        <w:tc>
          <w:tcPr>
            <w:tcW w:type="dxa" w:w="1234"/>
          </w:tcPr>
          <w:p>
            <w:r>
              <w:rPr>
                <w:rFonts w:ascii="Calibri" w:hAnsi="Calibri"/>
                <w:sz w:val="22"/>
              </w:rPr>
              <w:t>$9.91</w:t>
            </w:r>
          </w:p>
        </w:tc>
        <w:tc>
          <w:tcPr>
            <w:tcW w:type="dxa" w:w="1234"/>
          </w:tcPr>
          <w:p>
            <w:r>
              <w:rPr>
                <w:rFonts w:ascii="Calibri" w:hAnsi="Calibri"/>
                <w:sz w:val="22"/>
              </w:rPr>
              <w:t>$11.36</w:t>
            </w:r>
          </w:p>
        </w:tc>
        <w:tc>
          <w:tcPr>
            <w:tcW w:type="dxa" w:w="1234"/>
          </w:tcPr>
          <w:p>
            <w:r>
              <w:rPr>
                <w:rFonts w:ascii="Calibri" w:hAnsi="Calibri"/>
                <w:sz w:val="22"/>
              </w:rPr>
              <w:t>+14.6%</w:t>
            </w:r>
          </w:p>
        </w:tc>
        <w:tc>
          <w:tcPr>
            <w:tcW w:type="dxa" w:w="1234"/>
          </w:tcPr>
          <w:p>
            <w:r>
              <w:rPr>
                <w:rFonts w:ascii="Calibri" w:hAnsi="Calibri"/>
                <w:sz w:val="22"/>
              </w:rPr>
              <w:t>N/A (FY guided $42.31–$43.11)</w:t>
            </w:r>
          </w:p>
        </w:tc>
        <w:tc>
          <w:tcPr>
            <w:tcW w:type="dxa" w:w="1234"/>
          </w:tcPr>
          <w:p>
            <w:r>
              <w:rPr>
                <w:rFonts w:ascii="Calibri" w:hAnsi="Calibri"/>
                <w:sz w:val="22"/>
              </w:rPr>
              <w:t>N/A</w:t>
            </w:r>
          </w:p>
        </w:tc>
      </w:tr>
      <w:tr>
        <w:tc>
          <w:tcPr>
            <w:tcW w:type="dxa" w:w="1234"/>
          </w:tcPr>
          <w:p>
            <w:r>
              <w:rPr>
                <w:rFonts w:ascii="Calibri" w:hAnsi="Calibri"/>
                <w:sz w:val="22"/>
              </w:rPr>
              <w:t>Interconnection Revenue ($M)</w:t>
            </w:r>
          </w:p>
        </w:tc>
        <w:tc>
          <w:tcPr>
            <w:tcW w:type="dxa" w:w="1234"/>
          </w:tcPr>
          <w:p>
            <w:r>
              <w:rPr>
                <w:rFonts w:ascii="Calibri" w:hAnsi="Calibri"/>
                <w:sz w:val="22"/>
              </w:rPr>
              <w:t>$446M</w:t>
            </w:r>
          </w:p>
        </w:tc>
        <w:tc>
          <w:tcPr>
            <w:tcW w:type="dxa" w:w="1234"/>
          </w:tcPr>
          <w:p>
            <w:r>
              <w:rPr>
                <w:rFonts w:ascii="Calibri" w:hAnsi="Calibri"/>
                <w:sz w:val="22"/>
              </w:rPr>
              <w:t>$407M</w:t>
            </w:r>
          </w:p>
        </w:tc>
        <w:tc>
          <w:tcPr>
            <w:tcW w:type="dxa" w:w="1234"/>
          </w:tcPr>
          <w:p>
            <w:r>
              <w:rPr>
                <w:rFonts w:ascii="Calibri" w:hAnsi="Calibri"/>
                <w:sz w:val="22"/>
              </w:rPr>
              <w:t>$457M</w:t>
            </w:r>
          </w:p>
        </w:tc>
        <w:tc>
          <w:tcPr>
            <w:tcW w:type="dxa" w:w="1234"/>
          </w:tcPr>
          <w:p>
            <w:r>
              <w:rPr>
                <w:rFonts w:ascii="Calibri" w:hAnsi="Calibri"/>
                <w:sz w:val="22"/>
              </w:rPr>
              <w:t>+12.3%</w:t>
            </w:r>
          </w:p>
        </w:tc>
        <w:tc>
          <w:tcPr>
            <w:tcW w:type="dxa" w:w="1234"/>
          </w:tcPr>
          <w:p>
            <w:r>
              <w:rPr>
                <w:rFonts w:ascii="Calibri" w:hAnsi="Calibri"/>
                <w:sz w:val="22"/>
              </w:rPr>
              <w:t>N/A (no quarterly guidance)</w:t>
            </w:r>
          </w:p>
        </w:tc>
        <w:tc>
          <w:tcPr>
            <w:tcW w:type="dxa" w:w="1234"/>
          </w:tcPr>
          <w:p>
            <w:r>
              <w:rPr>
                <w:rFonts w:ascii="Calibri" w:hAnsi="Calibri"/>
                <w:sz w:val="22"/>
              </w:rPr>
              <w:t>N/A</w:t>
            </w:r>
          </w:p>
        </w:tc>
      </w:tr>
      <w:tr>
        <w:tc>
          <w:tcPr>
            <w:tcW w:type="dxa" w:w="1234"/>
          </w:tcPr>
          <w:p>
            <w:r>
              <w:rPr>
                <w:rFonts w:ascii="Calibri" w:hAnsi="Calibri"/>
                <w:sz w:val="22"/>
              </w:rPr>
              <w:t>Annualized Gross Bookings ($M)</w:t>
            </w:r>
          </w:p>
        </w:tc>
        <w:tc>
          <w:tcPr>
            <w:tcW w:type="dxa" w:w="1234"/>
          </w:tcPr>
          <w:p>
            <w:r>
              <w:rPr>
                <w:rFonts w:ascii="Calibri" w:hAnsi="Calibri"/>
                <w:sz w:val="22"/>
              </w:rPr>
              <w:t>$378M</w:t>
            </w:r>
          </w:p>
        </w:tc>
        <w:tc>
          <w:tcPr>
            <w:tcW w:type="dxa" w:w="1234"/>
          </w:tcPr>
          <w:p>
            <w:r>
              <w:rPr>
                <w:rFonts w:ascii="Calibri" w:hAnsi="Calibri"/>
                <w:sz w:val="22"/>
              </w:rPr>
              <w:t>$345M</w:t>
            </w:r>
          </w:p>
        </w:tc>
        <w:tc>
          <w:tcPr>
            <w:tcW w:type="dxa" w:w="1234"/>
          </w:tcPr>
          <w:p>
            <w:r>
              <w:rPr>
                <w:rFonts w:ascii="Calibri" w:hAnsi="Calibri"/>
                <w:sz w:val="22"/>
              </w:rPr>
              <w:t>$404M (consensus)</w:t>
            </w:r>
          </w:p>
        </w:tc>
        <w:tc>
          <w:tcPr>
            <w:tcW w:type="dxa" w:w="1234"/>
          </w:tcPr>
          <w:p>
            <w:r>
              <w:rPr>
                <w:rFonts w:ascii="Calibri" w:hAnsi="Calibri"/>
                <w:sz w:val="22"/>
              </w:rPr>
              <w:t>+17.1%</w:t>
            </w:r>
          </w:p>
        </w:tc>
        <w:tc>
          <w:tcPr>
            <w:tcW w:type="dxa" w:w="1234"/>
          </w:tcPr>
          <w:p>
            <w:r>
              <w:rPr>
                <w:rFonts w:ascii="Calibri" w:hAnsi="Calibri"/>
                <w:sz w:val="22"/>
              </w:rPr>
              <w:t>N/A (no quarterly guidance)</w:t>
            </w:r>
          </w:p>
        </w:tc>
        <w:tc>
          <w:tcPr>
            <w:tcW w:type="dxa" w:w="1234"/>
          </w:tcPr>
          <w:p>
            <w:r>
              <w:rPr>
                <w:rFonts w:ascii="Calibri" w:hAnsi="Calibri"/>
                <w:sz w:val="22"/>
              </w:rPr>
              <w:t>N/A</w:t>
            </w:r>
          </w:p>
        </w:tc>
      </w:tr>
      <w:tr>
        <w:tc>
          <w:tcPr>
            <w:tcW w:type="dxa" w:w="1234"/>
          </w:tcPr>
          <w:p>
            <w:r>
              <w:rPr>
                <w:rFonts w:ascii="Calibri" w:hAnsi="Calibri"/>
                <w:sz w:val="22"/>
              </w:rPr>
              <w:t>MRR Churn Rate (%)</w:t>
            </w:r>
          </w:p>
        </w:tc>
        <w:tc>
          <w:tcPr>
            <w:tcW w:type="dxa" w:w="1234"/>
          </w:tcPr>
          <w:p>
            <w:r>
              <w:rPr>
                <w:rFonts w:ascii="Calibri" w:hAnsi="Calibri"/>
                <w:sz w:val="22"/>
              </w:rPr>
              <w:t>1.7%</w:t>
            </w:r>
          </w:p>
        </w:tc>
        <w:tc>
          <w:tcPr>
            <w:tcW w:type="dxa" w:w="1234"/>
          </w:tcPr>
          <w:p>
            <w:r>
              <w:rPr>
                <w:rFonts w:ascii="Calibri" w:hAnsi="Calibri"/>
                <w:sz w:val="22"/>
              </w:rPr>
              <w:t>2.6%</w:t>
            </w:r>
          </w:p>
        </w:tc>
        <w:tc>
          <w:tcPr>
            <w:tcW w:type="dxa" w:w="1234"/>
          </w:tcPr>
          <w:p>
            <w:r>
              <w:rPr>
                <w:rFonts w:ascii="Calibri" w:hAnsi="Calibri"/>
                <w:sz w:val="22"/>
              </w:rPr>
              <w:t>2.21%</w:t>
            </w:r>
          </w:p>
        </w:tc>
        <w:tc>
          <w:tcPr>
            <w:tcW w:type="dxa" w:w="1234"/>
          </w:tcPr>
          <w:p>
            <w:r>
              <w:rPr>
                <w:rFonts w:ascii="Calibri" w:hAnsi="Calibri"/>
                <w:sz w:val="22"/>
              </w:rPr>
              <w:t>−59 bps YoY</w:t>
            </w:r>
          </w:p>
        </w:tc>
        <w:tc>
          <w:tcPr>
            <w:tcW w:type="dxa" w:w="1234"/>
          </w:tcPr>
          <w:p>
            <w:r>
              <w:rPr>
                <w:rFonts w:ascii="Calibri" w:hAnsi="Calibri"/>
                <w:sz w:val="22"/>
              </w:rPr>
              <w:t>Low end of 2.0–2.5% FY range</w:t>
            </w:r>
          </w:p>
        </w:tc>
        <w:tc>
          <w:tcPr>
            <w:tcW w:type="dxa" w:w="1234"/>
          </w:tcPr>
          <w:p>
            <w:r>
              <w:rPr>
                <w:rFonts w:ascii="Calibri" w:hAnsi="Calibri"/>
                <w:sz w:val="22"/>
              </w:rPr>
              <w:t>~−29 bps vs. midpoint</w:t>
            </w:r>
          </w:p>
        </w:tc>
      </w:tr>
      <w:tr>
        <w:tc>
          <w:tcPr>
            <w:tcW w:type="dxa" w:w="1234"/>
          </w:tcPr>
          <w:p>
            <w:r>
              <w:rPr>
                <w:rFonts w:ascii="Calibri" w:hAnsi="Calibri"/>
                <w:sz w:val="22"/>
              </w:rPr>
              <w:t>MRR per Cabinet — Total ($/mo)</w:t>
            </w:r>
          </w:p>
        </w:tc>
        <w:tc>
          <w:tcPr>
            <w:tcW w:type="dxa" w:w="1234"/>
          </w:tcPr>
          <w:p>
            <w:r>
              <w:rPr>
                <w:rFonts w:ascii="Calibri" w:hAnsi="Calibri"/>
                <w:sz w:val="22"/>
              </w:rPr>
              <w:t>$1,914</w:t>
            </w:r>
          </w:p>
        </w:tc>
        <w:tc>
          <w:tcPr>
            <w:tcW w:type="dxa" w:w="1234"/>
          </w:tcPr>
          <w:p>
            <w:r>
              <w:rPr>
                <w:rFonts w:ascii="Calibri" w:hAnsi="Calibri"/>
                <w:sz w:val="22"/>
              </w:rPr>
              <w:t>$1,810</w:t>
            </w:r>
          </w:p>
        </w:tc>
        <w:tc>
          <w:tcPr>
            <w:tcW w:type="dxa" w:w="1234"/>
          </w:tcPr>
          <w:p>
            <w:r>
              <w:rPr>
                <w:rFonts w:ascii="Calibri" w:hAnsi="Calibri"/>
                <w:sz w:val="22"/>
              </w:rPr>
              <w:t>$1,953</w:t>
            </w:r>
          </w:p>
        </w:tc>
        <w:tc>
          <w:tcPr>
            <w:tcW w:type="dxa" w:w="1234"/>
          </w:tcPr>
          <w:p>
            <w:r>
              <w:rPr>
                <w:rFonts w:ascii="Calibri" w:hAnsi="Calibri"/>
                <w:sz w:val="22"/>
              </w:rPr>
              <w:t>+7.9%</w:t>
            </w:r>
          </w:p>
        </w:tc>
        <w:tc>
          <w:tcPr>
            <w:tcW w:type="dxa" w:w="1234"/>
          </w:tcPr>
          <w:p>
            <w:r>
              <w:rPr>
                <w:rFonts w:ascii="Calibri" w:hAnsi="Calibri"/>
                <w:sz w:val="22"/>
              </w:rPr>
              <w:t>N/A (no quarterly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i/>
          <w:color w:val="525866"/>
          <w:sz w:val="22"/>
        </w:rPr>
        <w:t xml:space="preserve"> — Revenue, Recurring Revenue, Adjusted EBITDA, AFFO per Share, Interconnection Revenue, Annualized Gross Bookings, MRR Churn Rate, MRR per Cabinet. Q2 2026 guidance midpoints from Q1 2026 Earnings Release (April 29, 2026). CFO recurring revenue confirmation from Nareit REITweek transcript (June 3, 2026).</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$2,256</w:t>
            </w:r>
          </w:p>
        </w:tc>
        <w:tc>
          <w:tcPr>
            <w:tcW w:type="dxa" w:w="1728"/>
          </w:tcPr>
          <w:p>
            <w:r>
              <w:rPr>
                <w:rFonts w:ascii="Calibri" w:hAnsi="Calibri"/>
                <w:sz w:val="22"/>
              </w:rPr>
              <w:t>$2,257</w:t>
            </w:r>
          </w:p>
        </w:tc>
        <w:tc>
          <w:tcPr>
            <w:tcW w:type="dxa" w:w="1728"/>
          </w:tcPr>
          <w:p>
            <w:r>
              <w:rPr>
                <w:rFonts w:ascii="Calibri" w:hAnsi="Calibri"/>
                <w:sz w:val="22"/>
              </w:rPr>
              <w:t>−0.0%</w:t>
            </w:r>
          </w:p>
        </w:tc>
        <w:tc>
          <w:tcPr>
            <w:tcW w:type="dxa" w:w="1728"/>
          </w:tcPr>
          <w:p>
            <w:r>
              <w:rPr>
                <w:rFonts w:ascii="Calibri" w:hAnsi="Calibri"/>
                <w:b/>
                <w:color w:val="002FA7"/>
                <w:sz w:val="22"/>
              </w:rPr>
              <w:t>In-line</w:t>
            </w:r>
          </w:p>
        </w:tc>
      </w:tr>
      <w:tr>
        <w:tc>
          <w:tcPr>
            <w:tcW w:type="dxa" w:w="1728"/>
          </w:tcPr>
          <w:p>
            <w:r>
              <w:rPr>
                <w:rFonts w:ascii="Calibri" w:hAnsi="Calibri"/>
                <w:sz w:val="22"/>
              </w:rPr>
              <w:t>Q3 2024</w:t>
            </w:r>
          </w:p>
        </w:tc>
        <w:tc>
          <w:tcPr>
            <w:tcW w:type="dxa" w:w="1728"/>
          </w:tcPr>
          <w:p>
            <w:r>
              <w:rPr>
                <w:rFonts w:ascii="Calibri" w:hAnsi="Calibri"/>
                <w:sz w:val="22"/>
              </w:rPr>
              <w:t>$2,201</w:t>
            </w:r>
          </w:p>
        </w:tc>
        <w:tc>
          <w:tcPr>
            <w:tcW w:type="dxa" w:w="1728"/>
          </w:tcPr>
          <w:p>
            <w:r>
              <w:rPr>
                <w:rFonts w:ascii="Calibri" w:hAnsi="Calibri"/>
                <w:sz w:val="22"/>
              </w:rPr>
              <w:t>$2,203</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$2,261</w:t>
            </w:r>
          </w:p>
        </w:tc>
        <w:tc>
          <w:tcPr>
            <w:tcW w:type="dxa" w:w="1728"/>
          </w:tcPr>
          <w:p>
            <w:r>
              <w:rPr>
                <w:rFonts w:ascii="Calibri" w:hAnsi="Calibri"/>
                <w:sz w:val="22"/>
              </w:rPr>
              <w:t>$2,270</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$2,225</w:t>
            </w:r>
          </w:p>
        </w:tc>
        <w:tc>
          <w:tcPr>
            <w:tcW w:type="dxa" w:w="1728"/>
          </w:tcPr>
          <w:p>
            <w:r>
              <w:rPr>
                <w:rFonts w:ascii="Calibri" w:hAnsi="Calibri"/>
                <w:sz w:val="22"/>
              </w:rPr>
              <w:t>$2,221</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$2,256</w:t>
            </w:r>
          </w:p>
        </w:tc>
        <w:tc>
          <w:tcPr>
            <w:tcW w:type="dxa" w:w="1728"/>
          </w:tcPr>
          <w:p>
            <w:r>
              <w:rPr>
                <w:rFonts w:ascii="Calibri" w:hAnsi="Calibri"/>
                <w:sz w:val="22"/>
              </w:rPr>
              <w:t>$2,257</w:t>
            </w:r>
          </w:p>
        </w:tc>
        <w:tc>
          <w:tcPr>
            <w:tcW w:type="dxa" w:w="1728"/>
          </w:tcPr>
          <w:p>
            <w:r>
              <w:rPr>
                <w:rFonts w:ascii="Calibri" w:hAnsi="Calibri"/>
                <w:sz w:val="22"/>
              </w:rPr>
              <w:t>−0.0%</w:t>
            </w:r>
          </w:p>
        </w:tc>
        <w:tc>
          <w:tcPr>
            <w:tcW w:type="dxa" w:w="1728"/>
          </w:tcPr>
          <w:p>
            <w:r>
              <w:rPr>
                <w:rFonts w:ascii="Calibri" w:hAnsi="Calibri"/>
                <w:b/>
                <w:color w:val="002FA7"/>
                <w:sz w:val="22"/>
              </w:rPr>
              <w:t>In-line</w:t>
            </w:r>
          </w:p>
        </w:tc>
      </w:tr>
      <w:tr>
        <w:tc>
          <w:tcPr>
            <w:tcW w:type="dxa" w:w="1728"/>
          </w:tcPr>
          <w:p>
            <w:r>
              <w:rPr>
                <w:rFonts w:ascii="Calibri" w:hAnsi="Calibri"/>
                <w:sz w:val="22"/>
              </w:rPr>
              <w:t>Q3 2025</w:t>
            </w:r>
          </w:p>
        </w:tc>
        <w:tc>
          <w:tcPr>
            <w:tcW w:type="dxa" w:w="1728"/>
          </w:tcPr>
          <w:p>
            <w:r>
              <w:rPr>
                <w:rFonts w:ascii="Calibri" w:hAnsi="Calibri"/>
                <w:sz w:val="22"/>
              </w:rPr>
              <w:t>$2,316</w:t>
            </w:r>
          </w:p>
        </w:tc>
        <w:tc>
          <w:tcPr>
            <w:tcW w:type="dxa" w:w="1728"/>
          </w:tcPr>
          <w:p>
            <w:r>
              <w:rPr>
                <w:rFonts w:ascii="Calibri" w:hAnsi="Calibri"/>
                <w:sz w:val="22"/>
              </w:rPr>
              <w:t>$2,327</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$2,420</w:t>
            </w:r>
          </w:p>
        </w:tc>
        <w:tc>
          <w:tcPr>
            <w:tcW w:type="dxa" w:w="1728"/>
          </w:tcPr>
          <w:p>
            <w:r>
              <w:rPr>
                <w:rFonts w:ascii="Calibri" w:hAnsi="Calibri"/>
                <w:sz w:val="22"/>
              </w:rPr>
              <w:t>$2,456</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$2,444</w:t>
            </w:r>
          </w:p>
        </w:tc>
        <w:tc>
          <w:tcPr>
            <w:tcW w:type="dxa" w:w="1728"/>
          </w:tcPr>
          <w:p>
            <w:r>
              <w:rPr>
                <w:rFonts w:ascii="Calibri" w:hAnsi="Calibri"/>
                <w:sz w:val="22"/>
              </w:rPr>
              <w:t>$2,516</w:t>
            </w:r>
          </w:p>
        </w:tc>
        <w:tc>
          <w:tcPr>
            <w:tcW w:type="dxa" w:w="1728"/>
          </w:tcPr>
          <w:p>
            <w:r>
              <w:rPr>
                <w:rFonts w:ascii="Calibri" w:hAnsi="Calibri"/>
                <w:sz w:val="22"/>
              </w:rPr>
              <w:t>−2.9%</w:t>
            </w:r>
          </w:p>
        </w:tc>
        <w:tc>
          <w:tcPr>
            <w:tcW w:type="dxa" w:w="1728"/>
          </w:tcPr>
          <w:p>
            <w:r>
              <w:rPr>
                <w:rFonts w:ascii="Calibri" w:hAnsi="Calibri"/>
                <w:b/>
                <w:color w:val="E5484D"/>
                <w:sz w:val="22"/>
              </w:rPr>
              <w:t>Miss (Hampton timing)</w:t>
            </w:r>
          </w:p>
        </w:tc>
      </w:tr>
    </w:tbl>
    <w:p>
      <w:pPr>
        <w:pStyle w:val="Heading3"/>
      </w:pPr>
      <w:r>
        <w:rPr>
          <w:rFonts w:ascii="Calibri" w:hAnsi="Calibri"/>
          <w:b/>
          <w:color w:val="3B4259"/>
          <w:sz w:val="24"/>
        </w:rPr>
        <w:t>KPI 2: AFFO per Share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$9.91</w:t>
            </w:r>
          </w:p>
        </w:tc>
        <w:tc>
          <w:tcPr>
            <w:tcW w:type="dxa" w:w="1728"/>
          </w:tcPr>
          <w:p>
            <w:r>
              <w:rPr>
                <w:rFonts w:ascii="Calibri" w:hAnsi="Calibri"/>
                <w:sz w:val="22"/>
              </w:rPr>
              <w:t>$9.33</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$9.05</w:t>
            </w:r>
          </w:p>
        </w:tc>
        <w:tc>
          <w:tcPr>
            <w:tcW w:type="dxa" w:w="1728"/>
          </w:tcPr>
          <w:p>
            <w:r>
              <w:rPr>
                <w:rFonts w:ascii="Calibri" w:hAnsi="Calibri"/>
                <w:sz w:val="22"/>
              </w:rPr>
              <w:t>$8.69</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$7.92</w:t>
            </w:r>
          </w:p>
        </w:tc>
        <w:tc>
          <w:tcPr>
            <w:tcW w:type="dxa" w:w="1728"/>
          </w:tcPr>
          <w:p>
            <w:r>
              <w:rPr>
                <w:rFonts w:ascii="Calibri" w:hAnsi="Calibri"/>
                <w:sz w:val="22"/>
              </w:rPr>
              <w:t>$8.05</w:t>
            </w:r>
          </w:p>
        </w:tc>
        <w:tc>
          <w:tcPr>
            <w:tcW w:type="dxa" w:w="1728"/>
          </w:tcPr>
          <w:p>
            <w:r>
              <w:rPr>
                <w:rFonts w:ascii="Calibri" w:hAnsi="Calibri"/>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$9.67</w:t>
            </w:r>
          </w:p>
        </w:tc>
        <w:tc>
          <w:tcPr>
            <w:tcW w:type="dxa" w:w="1728"/>
          </w:tcPr>
          <w:p>
            <w:r>
              <w:rPr>
                <w:rFonts w:ascii="Calibri" w:hAnsi="Calibri"/>
                <w:sz w:val="22"/>
              </w:rPr>
              <w:t>$9.02</w:t>
            </w:r>
          </w:p>
        </w:tc>
        <w:tc>
          <w:tcPr>
            <w:tcW w:type="dxa" w:w="1728"/>
          </w:tcPr>
          <w:p>
            <w:r>
              <w:rPr>
                <w:rFonts w:ascii="Calibri" w:hAnsi="Calibri"/>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$9.91</w:t>
            </w:r>
          </w:p>
        </w:tc>
        <w:tc>
          <w:tcPr>
            <w:tcW w:type="dxa" w:w="1728"/>
          </w:tcPr>
          <w:p>
            <w:r>
              <w:rPr>
                <w:rFonts w:ascii="Calibri" w:hAnsi="Calibri"/>
                <w:sz w:val="22"/>
              </w:rPr>
              <w:t>$9.33</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$9.83</w:t>
            </w:r>
          </w:p>
        </w:tc>
        <w:tc>
          <w:tcPr>
            <w:tcW w:type="dxa" w:w="1728"/>
          </w:tcPr>
          <w:p>
            <w:r>
              <w:rPr>
                <w:rFonts w:ascii="Calibri" w:hAnsi="Calibri"/>
                <w:sz w:val="22"/>
              </w:rPr>
              <w:t>$9.32</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$8.91</w:t>
            </w:r>
          </w:p>
        </w:tc>
        <w:tc>
          <w:tcPr>
            <w:tcW w:type="dxa" w:w="1728"/>
          </w:tcPr>
          <w:p>
            <w:r>
              <w:rPr>
                <w:rFonts w:ascii="Calibri" w:hAnsi="Calibri"/>
                <w:sz w:val="22"/>
              </w:rPr>
              <w:t>$9.12</w:t>
            </w:r>
          </w:p>
        </w:tc>
        <w:tc>
          <w:tcPr>
            <w:tcW w:type="dxa" w:w="1728"/>
          </w:tcPr>
          <w:p>
            <w:r>
              <w:rPr>
                <w:rFonts w:ascii="Calibri" w:hAnsi="Calibri"/>
                <w:sz w:val="22"/>
              </w:rPr>
              <w:t>−2.3%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$10.79</w:t>
            </w:r>
          </w:p>
        </w:tc>
        <w:tc>
          <w:tcPr>
            <w:tcW w:type="dxa" w:w="1728"/>
          </w:tcPr>
          <w:p>
            <w:r>
              <w:rPr>
                <w:rFonts w:ascii="Calibri" w:hAnsi="Calibri"/>
                <w:sz w:val="22"/>
              </w:rPr>
              <w:t>$11.04</w:t>
            </w:r>
          </w:p>
        </w:tc>
        <w:tc>
          <w:tcPr>
            <w:tcW w:type="dxa" w:w="1728"/>
          </w:tcPr>
          <w:p>
            <w:r>
              <w:rPr>
                <w:rFonts w:ascii="Calibri" w:hAnsi="Calibri"/>
                <w:sz w:val="22"/>
              </w:rPr>
              <w:t>−2.3%</w:t>
            </w:r>
          </w:p>
        </w:tc>
        <w:tc>
          <w:tcPr>
            <w:tcW w:type="dxa" w:w="1728"/>
          </w:tcPr>
          <w:p>
            <w:r>
              <w:rPr>
                <w:rFonts w:ascii="Calibri" w:hAnsi="Calibri"/>
                <w:b/>
                <w:color w:val="E5484D"/>
                <w:sz w:val="22"/>
              </w:rPr>
              <w:t>Miss (Hampton timing)</w:t>
            </w:r>
          </w:p>
        </w:tc>
      </w:tr>
    </w:tbl>
    <w:p>
      <w:r>
        <w:rPr>
          <w:rFonts w:ascii="Calibri" w:hAnsi="Calibri"/>
          <w:b/>
          <w:color w:val="525866"/>
          <w:sz w:val="22"/>
        </w:rPr>
        <w:t xml:space="preserve">Pattern: </w:t>
      </w:r>
      <w:r>
        <w:rPr>
          <w:rFonts w:ascii="Calibri" w:hAnsi="Calibri"/>
          <w:color w:val="525866"/>
          <w:sz w:val="22"/>
        </w:rPr>
        <w:t>AFFO per share has beaten consensus in 5 of the last 8 quarters, with the two most recent misses (Q4 2025 and Q1 2026) both attributable to the Hampton xScale lease timing shift rather than underlying operational weakness. Revenue has been a more consistent miss vs. consensus, reflecting the Street’s tendency to over-estimate non-recurring revenue contributions. With Hampton now embedded in Q2 guidance, the headline miss pattern may break this quarter.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was raised across all key metrics at Q1 earnings (April 29, 2026) and subsequently reaffirmed at the Nareit REITweek conference (June 3, 2026) with the CFO explicitly confirming Q2 recurring revenue growth of 10% YoY and 51% EBITDA margins — tone is confident and unchanged since the Q1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$2,571–$2,611M</w:t>
            </w:r>
          </w:p>
        </w:tc>
        <w:tc>
          <w:tcPr>
            <w:tcW w:type="dxa" w:w="1728"/>
          </w:tcPr>
          <w:p>
            <w:r>
              <w:rPr>
                <w:rFonts w:ascii="Calibri" w:hAnsi="Calibri"/>
                <w:sz w:val="22"/>
              </w:rPr>
              <w:t>—</w:t>
            </w:r>
          </w:p>
        </w:tc>
        <w:tc>
          <w:tcPr>
            <w:tcW w:type="dxa" w:w="1728"/>
          </w:tcPr>
          <w:p>
            <w:r>
              <w:rPr>
                <w:rFonts w:ascii="Calibri" w:hAnsi="Calibri"/>
                <w:sz w:val="22"/>
              </w:rPr>
              <w:t>$2,591M</w:t>
            </w:r>
          </w:p>
        </w:tc>
        <w:tc>
          <w:tcPr>
            <w:tcW w:type="dxa" w:w="1728"/>
          </w:tcPr>
          <w:p>
            <w:r>
              <w:rPr>
                <w:rFonts w:ascii="Calibri" w:hAnsi="Calibri"/>
                <w:sz w:val="22"/>
              </w:rPr>
              <w:t>Consensus at midpoint; includes ~$80M Hampton xScale contribution</w:t>
            </w:r>
          </w:p>
        </w:tc>
      </w:tr>
      <w:tr>
        <w:tc>
          <w:tcPr>
            <w:tcW w:type="dxa" w:w="1728"/>
          </w:tcPr>
          <w:p>
            <w:r>
              <w:rPr>
                <w:rFonts w:ascii="Calibri" w:hAnsi="Calibri"/>
                <w:sz w:val="22"/>
              </w:rPr>
              <w:t>Q2 2026 Adj. EBITDA</w:t>
            </w:r>
          </w:p>
        </w:tc>
        <w:tc>
          <w:tcPr>
            <w:tcW w:type="dxa" w:w="1728"/>
          </w:tcPr>
          <w:p>
            <w:r>
              <w:rPr>
                <w:rFonts w:ascii="Calibri" w:hAnsi="Calibri"/>
                <w:sz w:val="22"/>
              </w:rPr>
              <w:t>$1,349–$1,389M (52–53% margin)</w:t>
            </w:r>
          </w:p>
        </w:tc>
        <w:tc>
          <w:tcPr>
            <w:tcW w:type="dxa" w:w="1728"/>
          </w:tcPr>
          <w:p>
            <w:r>
              <w:rPr>
                <w:rFonts w:ascii="Calibri" w:hAnsi="Calibri"/>
                <w:sz w:val="22"/>
              </w:rPr>
              <w:t>—</w:t>
            </w:r>
          </w:p>
        </w:tc>
        <w:tc>
          <w:tcPr>
            <w:tcW w:type="dxa" w:w="1728"/>
          </w:tcPr>
          <w:p>
            <w:r>
              <w:rPr>
                <w:rFonts w:ascii="Calibri" w:hAnsi="Calibri"/>
                <w:sz w:val="22"/>
              </w:rPr>
              <w:t>$1,362M</w:t>
            </w:r>
          </w:p>
        </w:tc>
        <w:tc>
          <w:tcPr>
            <w:tcW w:type="dxa" w:w="1728"/>
          </w:tcPr>
          <w:p>
            <w:r>
              <w:rPr>
                <w:rFonts w:ascii="Calibri" w:hAnsi="Calibri"/>
                <w:sz w:val="22"/>
              </w:rPr>
              <w:t>Consensus slightly below midpoint; margin expansion on track</w:t>
            </w:r>
          </w:p>
        </w:tc>
      </w:tr>
      <w:tr>
        <w:tc>
          <w:tcPr>
            <w:tcW w:type="dxa" w:w="1728"/>
          </w:tcPr>
          <w:p>
            <w:r>
              <w:rPr>
                <w:rFonts w:ascii="Calibri" w:hAnsi="Calibri"/>
                <w:sz w:val="22"/>
              </w:rPr>
              <w:t>FY 2026 Revenue</w:t>
            </w:r>
          </w:p>
        </w:tc>
        <w:tc>
          <w:tcPr>
            <w:tcW w:type="dxa" w:w="1728"/>
          </w:tcPr>
          <w:p>
            <w:r>
              <w:rPr>
                <w:rFonts w:ascii="Calibri" w:hAnsi="Calibri"/>
                <w:sz w:val="22"/>
              </w:rPr>
              <w:t>$10,144–$10,244M (+10–11% YoY)</w:t>
            </w:r>
          </w:p>
        </w:tc>
        <w:tc>
          <w:tcPr>
            <w:tcW w:type="dxa" w:w="1728"/>
          </w:tcPr>
          <w:p>
            <w:r>
              <w:rPr>
                <w:rFonts w:ascii="Calibri" w:hAnsi="Calibri"/>
                <w:sz w:val="22"/>
              </w:rPr>
              <w:t>—</w:t>
            </w:r>
          </w:p>
        </w:tc>
        <w:tc>
          <w:tcPr>
            <w:tcW w:type="dxa" w:w="1728"/>
          </w:tcPr>
          <w:p>
            <w:r>
              <w:rPr>
                <w:rFonts w:ascii="Calibri" w:hAnsi="Calibri"/>
                <w:sz w:val="22"/>
              </w:rPr>
              <w:t>$10,245M</w:t>
            </w:r>
          </w:p>
        </w:tc>
        <w:tc>
          <w:tcPr>
            <w:tcW w:type="dxa" w:w="1728"/>
          </w:tcPr>
          <w:p>
            <w:r>
              <w:rPr>
                <w:rFonts w:ascii="Calibri" w:hAnsi="Calibri"/>
                <w:sz w:val="22"/>
              </w:rPr>
              <w:t>Reaffirmed at Nareit Jun 3; consensus at top of range</w:t>
            </w:r>
          </w:p>
        </w:tc>
      </w:tr>
      <w:tr>
        <w:tc>
          <w:tcPr>
            <w:tcW w:type="dxa" w:w="1728"/>
          </w:tcPr>
          <w:p>
            <w:r>
              <w:rPr>
                <w:rFonts w:ascii="Calibri" w:hAnsi="Calibri"/>
                <w:sz w:val="22"/>
              </w:rPr>
              <w:t>FY 2026 Adj. EBITDA</w:t>
            </w:r>
          </w:p>
        </w:tc>
        <w:tc>
          <w:tcPr>
            <w:tcW w:type="dxa" w:w="1728"/>
          </w:tcPr>
          <w:p>
            <w:r>
              <w:rPr>
                <w:rFonts w:ascii="Calibri" w:hAnsi="Calibri"/>
                <w:sz w:val="22"/>
              </w:rPr>
              <w:t>$5,165–$5,245M (~51% margin)</w:t>
            </w:r>
          </w:p>
        </w:tc>
        <w:tc>
          <w:tcPr>
            <w:tcW w:type="dxa" w:w="1728"/>
          </w:tcPr>
          <w:p>
            <w:r>
              <w:rPr>
                <w:rFonts w:ascii="Calibri" w:hAnsi="Calibri"/>
                <w:sz w:val="22"/>
              </w:rPr>
              <w:t>—</w:t>
            </w:r>
          </w:p>
        </w:tc>
        <w:tc>
          <w:tcPr>
            <w:tcW w:type="dxa" w:w="1728"/>
          </w:tcPr>
          <w:p>
            <w:r>
              <w:rPr>
                <w:rFonts w:ascii="Calibri" w:hAnsi="Calibri"/>
                <w:sz w:val="22"/>
              </w:rPr>
              <w:t>$5,242M</w:t>
            </w:r>
          </w:p>
        </w:tc>
        <w:tc>
          <w:tcPr>
            <w:tcW w:type="dxa" w:w="1728"/>
          </w:tcPr>
          <w:p>
            <w:r>
              <w:rPr>
                <w:rFonts w:ascii="Calibri" w:hAnsi="Calibri"/>
                <w:sz w:val="22"/>
              </w:rPr>
              <w:t>Margin confirmed at 51% at Nareit; consensus near top of range</w:t>
            </w:r>
          </w:p>
        </w:tc>
      </w:tr>
      <w:tr>
        <w:tc>
          <w:tcPr>
            <w:tcW w:type="dxa" w:w="1728"/>
          </w:tcPr>
          <w:p>
            <w:r>
              <w:rPr>
                <w:rFonts w:ascii="Calibri" w:hAnsi="Calibri"/>
                <w:sz w:val="22"/>
              </w:rPr>
              <w:t>FY 2026 AFFO</w:t>
            </w:r>
          </w:p>
        </w:tc>
        <w:tc>
          <w:tcPr>
            <w:tcW w:type="dxa" w:w="1728"/>
          </w:tcPr>
          <w:p>
            <w:r>
              <w:rPr>
                <w:rFonts w:ascii="Calibri" w:hAnsi="Calibri"/>
                <w:sz w:val="22"/>
              </w:rPr>
              <w:t>$4,198–$4,278M (+10–12% YoY)</w:t>
            </w:r>
          </w:p>
        </w:tc>
        <w:tc>
          <w:tcPr>
            <w:tcW w:type="dxa" w:w="1728"/>
          </w:tcPr>
          <w:p>
            <w:r>
              <w:rPr>
                <w:rFonts w:ascii="Calibri" w:hAnsi="Calibri"/>
                <w:sz w:val="22"/>
              </w:rPr>
              <w:t>—</w:t>
            </w:r>
          </w:p>
        </w:tc>
        <w:tc>
          <w:tcPr>
            <w:tcW w:type="dxa" w:w="1728"/>
          </w:tcPr>
          <w:p>
            <w:r>
              <w:rPr>
                <w:rFonts w:ascii="Calibri" w:hAnsi="Calibri"/>
                <w:sz w:val="22"/>
              </w:rPr>
              <w:t>N/A (per share tracked)</w:t>
            </w:r>
          </w:p>
        </w:tc>
        <w:tc>
          <w:tcPr>
            <w:tcW w:type="dxa" w:w="1728"/>
          </w:tcPr>
          <w:p>
            <w:r>
              <w:rPr>
                <w:rFonts w:ascii="Calibri" w:hAnsi="Calibri"/>
                <w:sz w:val="22"/>
              </w:rPr>
              <w:t>Raised $40M at Q1 print from Q1 outperformance</w:t>
            </w:r>
          </w:p>
        </w:tc>
      </w:tr>
      <w:tr>
        <w:tc>
          <w:tcPr>
            <w:tcW w:type="dxa" w:w="1728"/>
          </w:tcPr>
          <w:p>
            <w:r>
              <w:rPr>
                <w:rFonts w:ascii="Calibri" w:hAnsi="Calibri"/>
                <w:sz w:val="22"/>
              </w:rPr>
              <w:t>FY 2026 AFFO per Share</w:t>
            </w:r>
          </w:p>
        </w:tc>
        <w:tc>
          <w:tcPr>
            <w:tcW w:type="dxa" w:w="1728"/>
          </w:tcPr>
          <w:p>
            <w:r>
              <w:rPr>
                <w:rFonts w:ascii="Calibri" w:hAnsi="Calibri"/>
                <w:sz w:val="22"/>
              </w:rPr>
              <w:t>$42.31–$43.11 (+9–11% normalized CC)</w:t>
            </w:r>
          </w:p>
        </w:tc>
        <w:tc>
          <w:tcPr>
            <w:tcW w:type="dxa" w:w="1728"/>
          </w:tcPr>
          <w:p>
            <w:r>
              <w:rPr>
                <w:rFonts w:ascii="Calibri" w:hAnsi="Calibri"/>
                <w:sz w:val="22"/>
              </w:rPr>
              <w:t>—</w:t>
            </w:r>
          </w:p>
        </w:tc>
        <w:tc>
          <w:tcPr>
            <w:tcW w:type="dxa" w:w="1728"/>
          </w:tcPr>
          <w:p>
            <w:r>
              <w:rPr>
                <w:rFonts w:ascii="Calibri" w:hAnsi="Calibri"/>
                <w:sz w:val="22"/>
              </w:rPr>
              <w:t>$43.14</w:t>
            </w:r>
          </w:p>
        </w:tc>
        <w:tc>
          <w:tcPr>
            <w:tcW w:type="dxa" w:w="1728"/>
          </w:tcPr>
          <w:p>
            <w:r>
              <w:rPr>
                <w:rFonts w:ascii="Calibri" w:hAnsi="Calibri"/>
                <w:sz w:val="22"/>
              </w:rPr>
              <w:t>Confirmed 10% AFFO/share growth at Nareit; consensus above midpoint</w:t>
            </w:r>
          </w:p>
        </w:tc>
      </w:tr>
      <w:tr>
        <w:tc>
          <w:tcPr>
            <w:tcW w:type="dxa" w:w="1728"/>
          </w:tcPr>
          <w:p>
            <w:r>
              <w:rPr>
                <w:rFonts w:ascii="Calibri" w:hAnsi="Calibri"/>
                <w:sz w:val="22"/>
              </w:rPr>
              <w:t>FY 2026 MRR Churn</w:t>
            </w:r>
          </w:p>
        </w:tc>
        <w:tc>
          <w:tcPr>
            <w:tcW w:type="dxa" w:w="1728"/>
          </w:tcPr>
          <w:p>
            <w:r>
              <w:rPr>
                <w:rFonts w:ascii="Calibri" w:hAnsi="Calibri"/>
                <w:sz w:val="22"/>
              </w:rPr>
              <w:t>Low end of 2.0–2.5% range</w:t>
            </w:r>
          </w:p>
        </w:tc>
        <w:tc>
          <w:tcPr>
            <w:tcW w:type="dxa" w:w="1728"/>
          </w:tcPr>
          <w:p>
            <w:r>
              <w:rPr>
                <w:rFonts w:ascii="Calibri" w:hAnsi="Calibri"/>
                <w:sz w:val="22"/>
              </w:rPr>
              <w:t>—</w:t>
            </w:r>
          </w:p>
        </w:tc>
        <w:tc>
          <w:tcPr>
            <w:tcW w:type="dxa" w:w="1728"/>
          </w:tcPr>
          <w:p>
            <w:r>
              <w:rPr>
                <w:rFonts w:ascii="Calibri" w:hAnsi="Calibri"/>
                <w:sz w:val="22"/>
              </w:rPr>
              <w:t>2.21% (Q2 consensus)</w:t>
            </w:r>
          </w:p>
        </w:tc>
        <w:tc>
          <w:tcPr>
            <w:tcW w:type="dxa" w:w="1728"/>
          </w:tcPr>
          <w:p>
            <w:r>
              <w:rPr>
                <w:rFonts w:ascii="Calibri" w:hAnsi="Calibri"/>
                <w:sz w:val="22"/>
              </w:rPr>
              <w:t>Q1 came in at 1.7%; mgmt tracking toward low end of range</w:t>
            </w:r>
          </w:p>
        </w:tc>
      </w:tr>
      <w:tr>
        <w:tc>
          <w:tcPr>
            <w:tcW w:type="dxa" w:w="1728"/>
          </w:tcPr>
          <w:p>
            <w:r>
              <w:rPr>
                <w:rFonts w:ascii="Calibri" w:hAnsi="Calibri"/>
                <w:sz w:val="22"/>
              </w:rPr>
              <w:t>FY 2026 Total CapEx (ex-xScale/land)</w:t>
            </w:r>
          </w:p>
        </w:tc>
        <w:tc>
          <w:tcPr>
            <w:tcW w:type="dxa" w:w="1728"/>
          </w:tcPr>
          <w:p>
            <w:r>
              <w:rPr>
                <w:rFonts w:ascii="Calibri" w:hAnsi="Calibri"/>
                <w:sz w:val="22"/>
              </w:rPr>
              <w:t>~$4,100M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At top of prior range; ~90% growth/value-accretive</w:t>
            </w:r>
          </w:p>
        </w:tc>
      </w:tr>
    </w:tbl>
    <w:p>
      <w:r>
        <w:rPr>
          <w:rFonts w:ascii="Calibri" w:hAnsi="Calibri"/>
          <w:i/>
          <w:color w:val="525866"/>
          <w:sz w:val="22"/>
        </w:rPr>
        <w:t>Sources: Q1 2026 Earnings Release and Earnings Call Transcript (April 29, 2026); Nareit REITweek Investor Conference Transcript (June 3,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moved materially higher since the Q1 print — AFFO per share consensus for Q2 rose from $11.05 to $11.36 (+2.8%) and FY 2026 from $43.07 to $43.14 (+0.2%) — tracking with the guidance raise and CFO’s Nareit confirmation; estimates are running at or above the top of guidance ranges, leaving limited room for further upward revision but also suggesting the Street has high conviction in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$2,590M</w:t>
            </w:r>
          </w:p>
        </w:tc>
        <w:tc>
          <w:tcPr>
            <w:tcW w:type="dxa" w:w="1080"/>
          </w:tcPr>
          <w:p>
            <w:r>
              <w:rPr>
                <w:rFonts w:ascii="Calibri" w:hAnsi="Calibri"/>
                <w:sz w:val="22"/>
              </w:rPr>
              <w:t>$2,591M</w:t>
            </w:r>
          </w:p>
        </w:tc>
        <w:tc>
          <w:tcPr>
            <w:tcW w:type="dxa" w:w="1080"/>
          </w:tcPr>
          <w:p>
            <w:r>
              <w:rPr>
                <w:rFonts w:ascii="Calibri" w:hAnsi="Calibri"/>
                <w:sz w:val="22"/>
              </w:rPr>
              <w:t>+0.0%</w:t>
            </w:r>
          </w:p>
        </w:tc>
        <w:tc>
          <w:tcPr>
            <w:tcW w:type="dxa" w:w="1080"/>
          </w:tcPr>
          <w:p>
            <w:r>
              <w:rPr>
                <w:rFonts w:ascii="Calibri" w:hAnsi="Calibri"/>
                <w:sz w:val="22"/>
              </w:rPr>
              <w:t>$2,571–$2,611M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w:t>
            </w:r>
          </w:p>
        </w:tc>
      </w:tr>
      <w:tr>
        <w:tc>
          <w:tcPr>
            <w:tcW w:type="dxa" w:w="1080"/>
          </w:tcPr>
          <w:p>
            <w:r>
              <w:rPr>
                <w:rFonts w:ascii="Calibri" w:hAnsi="Calibri"/>
                <w:sz w:val="22"/>
              </w:rPr>
              <w:t>Revenue — FY 2026</w:t>
            </w:r>
          </w:p>
        </w:tc>
        <w:tc>
          <w:tcPr>
            <w:tcW w:type="dxa" w:w="1080"/>
          </w:tcPr>
          <w:p>
            <w:r>
              <w:rPr>
                <w:rFonts w:ascii="Calibri" w:hAnsi="Calibri"/>
                <w:sz w:val="22"/>
              </w:rPr>
              <w:t>$10,234M</w:t>
            </w:r>
          </w:p>
        </w:tc>
        <w:tc>
          <w:tcPr>
            <w:tcW w:type="dxa" w:w="1080"/>
          </w:tcPr>
          <w:p>
            <w:r>
              <w:rPr>
                <w:rFonts w:ascii="Calibri" w:hAnsi="Calibri"/>
                <w:sz w:val="22"/>
              </w:rPr>
              <w:t>$10,245M</w:t>
            </w:r>
          </w:p>
        </w:tc>
        <w:tc>
          <w:tcPr>
            <w:tcW w:type="dxa" w:w="1080"/>
          </w:tcPr>
          <w:p>
            <w:r>
              <w:rPr>
                <w:rFonts w:ascii="Calibri" w:hAnsi="Calibri"/>
                <w:sz w:val="22"/>
              </w:rPr>
              <w:t>+0.1%</w:t>
            </w:r>
          </w:p>
        </w:tc>
        <w:tc>
          <w:tcPr>
            <w:tcW w:type="dxa" w:w="1080"/>
          </w:tcPr>
          <w:p>
            <w:r>
              <w:rPr>
                <w:rFonts w:ascii="Calibri" w:hAnsi="Calibri"/>
                <w:sz w:val="22"/>
              </w:rPr>
              <w:t>$10,144–$10,244M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Adj. EBITDA — Q2 2026</w:t>
            </w:r>
          </w:p>
        </w:tc>
        <w:tc>
          <w:tcPr>
            <w:tcW w:type="dxa" w:w="1080"/>
          </w:tcPr>
          <w:p>
            <w:r>
              <w:rPr>
                <w:rFonts w:ascii="Calibri" w:hAnsi="Calibri"/>
                <w:sz w:val="22"/>
              </w:rPr>
              <w:t>$1,363M</w:t>
            </w:r>
          </w:p>
        </w:tc>
        <w:tc>
          <w:tcPr>
            <w:tcW w:type="dxa" w:w="1080"/>
          </w:tcPr>
          <w:p>
            <w:r>
              <w:rPr>
                <w:rFonts w:ascii="Calibri" w:hAnsi="Calibri"/>
                <w:sz w:val="22"/>
              </w:rPr>
              <w:t>$1,362M</w:t>
            </w:r>
          </w:p>
        </w:tc>
        <w:tc>
          <w:tcPr>
            <w:tcW w:type="dxa" w:w="1080"/>
          </w:tcPr>
          <w:p>
            <w:r>
              <w:rPr>
                <w:rFonts w:ascii="Calibri" w:hAnsi="Calibri"/>
                <w:sz w:val="22"/>
              </w:rPr>
              <w:t>−0.1%</w:t>
            </w:r>
          </w:p>
        </w:tc>
        <w:tc>
          <w:tcPr>
            <w:tcW w:type="dxa" w:w="1080"/>
          </w:tcPr>
          <w:p>
            <w:r>
              <w:rPr>
                <w:rFonts w:ascii="Calibri" w:hAnsi="Calibri"/>
                <w:sz w:val="22"/>
              </w:rPr>
              <w:t>$1,349–$1,389M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midpoint</w:t>
            </w:r>
          </w:p>
        </w:tc>
      </w:tr>
      <w:tr>
        <w:tc>
          <w:tcPr>
            <w:tcW w:type="dxa" w:w="1080"/>
          </w:tcPr>
          <w:p>
            <w:r>
              <w:rPr>
                <w:rFonts w:ascii="Calibri" w:hAnsi="Calibri"/>
                <w:sz w:val="22"/>
              </w:rPr>
              <w:t>Adj. EBITDA — FY 2026</w:t>
            </w:r>
          </w:p>
        </w:tc>
        <w:tc>
          <w:tcPr>
            <w:tcW w:type="dxa" w:w="1080"/>
          </w:tcPr>
          <w:p>
            <w:r>
              <w:rPr>
                <w:rFonts w:ascii="Calibri" w:hAnsi="Calibri"/>
                <w:sz w:val="22"/>
              </w:rPr>
              <w:t>$5,235M</w:t>
            </w:r>
          </w:p>
        </w:tc>
        <w:tc>
          <w:tcPr>
            <w:tcW w:type="dxa" w:w="1080"/>
          </w:tcPr>
          <w:p>
            <w:r>
              <w:rPr>
                <w:rFonts w:ascii="Calibri" w:hAnsi="Calibri"/>
                <w:sz w:val="22"/>
              </w:rPr>
              <w:t>$5,242M</w:t>
            </w:r>
          </w:p>
        </w:tc>
        <w:tc>
          <w:tcPr>
            <w:tcW w:type="dxa" w:w="1080"/>
          </w:tcPr>
          <w:p>
            <w:r>
              <w:rPr>
                <w:rFonts w:ascii="Calibri" w:hAnsi="Calibri"/>
                <w:sz w:val="22"/>
              </w:rPr>
              <w:t>+0.1%</w:t>
            </w:r>
          </w:p>
        </w:tc>
        <w:tc>
          <w:tcPr>
            <w:tcW w:type="dxa" w:w="1080"/>
          </w:tcPr>
          <w:p>
            <w:r>
              <w:rPr>
                <w:rFonts w:ascii="Calibri" w:hAnsi="Calibri"/>
                <w:sz w:val="22"/>
              </w:rPr>
              <w:t>$5,165–$5,245M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AFFO per Share — Q2 2026</w:t>
            </w:r>
          </w:p>
        </w:tc>
        <w:tc>
          <w:tcPr>
            <w:tcW w:type="dxa" w:w="1080"/>
          </w:tcPr>
          <w:p>
            <w:r>
              <w:rPr>
                <w:rFonts w:ascii="Calibri" w:hAnsi="Calibri"/>
                <w:sz w:val="22"/>
              </w:rPr>
              <w:t>$11.05</w:t>
            </w:r>
          </w:p>
        </w:tc>
        <w:tc>
          <w:tcPr>
            <w:tcW w:type="dxa" w:w="1080"/>
          </w:tcPr>
          <w:p>
            <w:r>
              <w:rPr>
                <w:rFonts w:ascii="Calibri" w:hAnsi="Calibri"/>
                <w:sz w:val="22"/>
              </w:rPr>
              <w:t>$11.36</w:t>
            </w:r>
          </w:p>
        </w:tc>
        <w:tc>
          <w:tcPr>
            <w:tcW w:type="dxa" w:w="1080"/>
          </w:tcPr>
          <w:p>
            <w:r>
              <w:rPr>
                <w:rFonts w:ascii="Calibri" w:hAnsi="Calibri"/>
                <w:sz w:val="22"/>
              </w:rPr>
              <w:t>+2.8%</w:t>
            </w:r>
          </w:p>
        </w:tc>
        <w:tc>
          <w:tcPr>
            <w:tcW w:type="dxa" w:w="1080"/>
          </w:tcPr>
          <w:p>
            <w:r>
              <w:rPr>
                <w:rFonts w:ascii="Calibri" w:hAnsi="Calibri"/>
                <w:sz w:val="22"/>
              </w:rPr>
              <w:t>N/A (FY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AFFO per Share — FY 2026</w:t>
            </w:r>
          </w:p>
        </w:tc>
        <w:tc>
          <w:tcPr>
            <w:tcW w:type="dxa" w:w="1080"/>
          </w:tcPr>
          <w:p>
            <w:r>
              <w:rPr>
                <w:rFonts w:ascii="Calibri" w:hAnsi="Calibri"/>
                <w:sz w:val="22"/>
              </w:rPr>
              <w:t>$43.07</w:t>
            </w:r>
          </w:p>
        </w:tc>
        <w:tc>
          <w:tcPr>
            <w:tcW w:type="dxa" w:w="1080"/>
          </w:tcPr>
          <w:p>
            <w:r>
              <w:rPr>
                <w:rFonts w:ascii="Calibri" w:hAnsi="Calibri"/>
                <w:sz w:val="22"/>
              </w:rPr>
              <w:t>$43.14</w:t>
            </w:r>
          </w:p>
        </w:tc>
        <w:tc>
          <w:tcPr>
            <w:tcW w:type="dxa" w:w="1080"/>
          </w:tcPr>
          <w:p>
            <w:r>
              <w:rPr>
                <w:rFonts w:ascii="Calibri" w:hAnsi="Calibri"/>
                <w:sz w:val="22"/>
              </w:rPr>
              <w:t>+0.2%</w:t>
            </w:r>
          </w:p>
        </w:tc>
        <w:tc>
          <w:tcPr>
            <w:tcW w:type="dxa" w:w="1080"/>
          </w:tcPr>
          <w:p>
            <w:r>
              <w:rPr>
                <w:rFonts w:ascii="Calibri" w:hAnsi="Calibri"/>
                <w:sz w:val="22"/>
              </w:rPr>
              <w:t>$42.31–$43.11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top of range</w:t>
            </w:r>
          </w:p>
        </w:tc>
      </w:tr>
      <w:tr>
        <w:tc>
          <w:tcPr>
            <w:tcW w:type="dxa" w:w="1080"/>
          </w:tcPr>
          <w:p>
            <w:r>
              <w:rPr>
                <w:rFonts w:ascii="Calibri" w:hAnsi="Calibri"/>
                <w:sz w:val="22"/>
              </w:rPr>
              <w:t>Interconnection Revenue — Q2 2026</w:t>
            </w:r>
          </w:p>
        </w:tc>
        <w:tc>
          <w:tcPr>
            <w:tcW w:type="dxa" w:w="1080"/>
          </w:tcPr>
          <w:p>
            <w:r>
              <w:rPr>
                <w:rFonts w:ascii="Calibri" w:hAnsi="Calibri"/>
                <w:sz w:val="22"/>
              </w:rPr>
              <w:t>$456M</w:t>
            </w:r>
          </w:p>
        </w:tc>
        <w:tc>
          <w:tcPr>
            <w:tcW w:type="dxa" w:w="1080"/>
          </w:tcPr>
          <w:p>
            <w:r>
              <w:rPr>
                <w:rFonts w:ascii="Calibri" w:hAnsi="Calibri"/>
                <w:sz w:val="22"/>
              </w:rPr>
              <w:t>$457M</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the only meaningful move being AFFO per share for Q2 (+2.8%), which reflects the Street incorporating the Hampton xScale contribution that was absent from Q1 actuals. FY 2026 consensus AFFO per share of $43.14 sits just above the top of the guidance range ($43.11), implying the Street has essentially no cushion for a guidance miss — but also that the bar is well-defined and unlikely to move further ahead of the print.</w:t>
      </w:r>
    </w:p>
    <w:p>
      <w:r>
        <w:rPr>
          <w:rFonts w:ascii="Calibri" w:hAnsi="Calibri"/>
          <w:i/>
          <w:color w:val="525866"/>
          <w:sz w:val="22"/>
        </w:rPr>
        <w:t>Source: Visible Alpha Consensus and Actuals Data (as-of date May 6, 2026 for baseline; latest as of July 28, 2026 for current).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EQIX has underperformed both XLRE and the S&amp;P 500 since the Q1 print, driven by multiple compression (NTM EV/EBITDA contracted from ~23.9x to ~22.2x over 3 months) rather than estimate cuts — suggesting the stock’s pullback is sentiment/valuation-driven, not fundamental, and creates a more attractive entry point ahead of a clean Q2 print.</w:t>
      </w:r>
    </w:p>
    <w:p>
      <w:r>
        <w:rPr>
          <w:rFonts w:ascii="Calibri" w:hAnsi="Calibri"/>
          <w:color w:val="525866"/>
          <w:sz w:val="22"/>
        </w:rPr>
        <w:t xml:space="preserve">Since the Q1 2026 earnings date (April 29, 2026), EQIX has declined approximately </w:t>
      </w:r>
      <w:r>
        <w:rPr>
          <w:rFonts w:ascii="Calibri" w:hAnsi="Calibri"/>
          <w:b/>
          <w:color w:val="525866"/>
          <w:sz w:val="22"/>
        </w:rPr>
        <w:t>−5.0%</w:t>
      </w:r>
      <w:r>
        <w:rPr>
          <w:rFonts w:ascii="Calibri" w:hAnsi="Calibri"/>
          <w:color w:val="525866"/>
          <w:sz w:val="22"/>
        </w:rPr>
        <w:t xml:space="preserve"> (from $1,089.07 to $1,046.79 as of July 27, 2026), while XLRE gained approximately +4.9% and the S&amp;P 500 (SPY) gained approximately +3.9% over the same period. The underperformance is concentrated in the June–July window, when EQIX fell from a peak of ~$1,116 (June 22) to a trough of ~$999 (July 6) before partially recovering. The stock’s NTM EV/EBITDA multiple contracted from approximately 23.9x (3 months ago) to 22.2x currently, while NTM EV/Sales compressed from 12.3x to 11.4x — consistent with a de-rating rather than estimate-driven decline. The 12-month picture is more constructive: EQIX is up approximately +29% over the trailing year, with roughly 13% of that attributable to multiple expansion and the remainder to earnings growth. On July 24, EQIX surged to $1,084 following Digital Realty’s strong Q2 print and 15% single-day rally, providing a direct peer read-through tailwind.</w:t>
      </w:r>
    </w:p>
    <w:p>
      <w:r>
        <w:rPr>
          <w:rFonts w:ascii="Calibri" w:hAnsi="Calibri"/>
          <w:b/>
          <w:i/>
          <w:color w:val="525866"/>
          <w:sz w:val="22"/>
        </w:rPr>
        <w:t>Chart: EQIX vs. XLRE vs. SPY — Indexed to 100 at April 29, 2026 (Q1 Earnings Date) through July 27,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EQIX (Indexed)</w:t>
            </w:r>
          </w:p>
        </w:tc>
        <w:tc>
          <w:tcPr>
            <w:tcW w:type="dxa" w:w="2160"/>
            <w:shd w:val="clear" w:color="auto" w:fill="3B4259"/>
          </w:tcPr>
          <w:p>
            <w:r>
              <w:rPr>
                <w:rFonts w:ascii="Calibri" w:hAnsi="Calibri"/>
                <w:b/>
                <w:color w:val="FFFFFF"/>
                <w:sz w:val="22"/>
              </w:rPr>
              <w:t>XLRE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w:t>
            </w:r>
          </w:p>
        </w:tc>
        <w:tc>
          <w:tcPr>
            <w:tcW w:type="dxa" w:w="2160"/>
          </w:tcPr>
          <w:p>
            <w:r>
              <w:rPr>
                <w:rFonts w:ascii="Calibri" w:hAnsi="Calibri"/>
                <w:sz w:val="22"/>
              </w:rPr>
              <w:t>98.1</w:t>
            </w:r>
          </w:p>
        </w:tc>
        <w:tc>
          <w:tcPr>
            <w:tcW w:type="dxa" w:w="2160"/>
          </w:tcPr>
          <w:p>
            <w:r>
              <w:rPr>
                <w:rFonts w:ascii="Calibri" w:hAnsi="Calibri"/>
                <w:sz w:val="22"/>
              </w:rPr>
              <w:t>100.8</w:t>
            </w:r>
          </w:p>
        </w:tc>
        <w:tc>
          <w:tcPr>
            <w:tcW w:type="dxa" w:w="2160"/>
          </w:tcPr>
          <w:p>
            <w:r>
              <w:rPr>
                <w:rFonts w:ascii="Calibri" w:hAnsi="Calibri"/>
                <w:sz w:val="22"/>
              </w:rPr>
              <w:t>106.3</w:t>
            </w:r>
          </w:p>
        </w:tc>
      </w:tr>
      <w:tr>
        <w:tc>
          <w:tcPr>
            <w:tcW w:type="dxa" w:w="2160"/>
          </w:tcPr>
          <w:p>
            <w:r>
              <w:rPr>
                <w:rFonts w:ascii="Calibri" w:hAnsi="Calibri"/>
                <w:sz w:val="22"/>
              </w:rPr>
              <w:t>Jun 22 (Peak)</w:t>
            </w:r>
          </w:p>
        </w:tc>
        <w:tc>
          <w:tcPr>
            <w:tcW w:type="dxa" w:w="2160"/>
          </w:tcPr>
          <w:p>
            <w:r>
              <w:rPr>
                <w:rFonts w:ascii="Calibri" w:hAnsi="Calibri"/>
                <w:sz w:val="22"/>
              </w:rPr>
              <w:t>102.5</w:t>
            </w:r>
          </w:p>
        </w:tc>
        <w:tc>
          <w:tcPr>
            <w:tcW w:type="dxa" w:w="2160"/>
          </w:tcPr>
          <w:p>
            <w:r>
              <w:rPr>
                <w:rFonts w:ascii="Calibri" w:hAnsi="Calibri"/>
                <w:sz w:val="22"/>
              </w:rPr>
              <w:t>100.9</w:t>
            </w:r>
          </w:p>
        </w:tc>
        <w:tc>
          <w:tcPr>
            <w:tcW w:type="dxa" w:w="2160"/>
          </w:tcPr>
          <w:p>
            <w:r>
              <w:rPr>
                <w:rFonts w:ascii="Calibri" w:hAnsi="Calibri"/>
                <w:sz w:val="22"/>
              </w:rPr>
              <w:t>104.6</w:t>
            </w:r>
          </w:p>
        </w:tc>
      </w:tr>
      <w:tr>
        <w:tc>
          <w:tcPr>
            <w:tcW w:type="dxa" w:w="2160"/>
          </w:tcPr>
          <w:p>
            <w:r>
              <w:rPr>
                <w:rFonts w:ascii="Calibri" w:hAnsi="Calibri"/>
                <w:sz w:val="22"/>
              </w:rPr>
              <w:t>Jul 6 (Trough)</w:t>
            </w:r>
          </w:p>
        </w:tc>
        <w:tc>
          <w:tcPr>
            <w:tcW w:type="dxa" w:w="2160"/>
          </w:tcPr>
          <w:p>
            <w:r>
              <w:rPr>
                <w:rFonts w:ascii="Calibri" w:hAnsi="Calibri"/>
                <w:sz w:val="22"/>
              </w:rPr>
              <w:t>91.7</w:t>
            </w:r>
          </w:p>
        </w:tc>
        <w:tc>
          <w:tcPr>
            <w:tcW w:type="dxa" w:w="2160"/>
          </w:tcPr>
          <w:p>
            <w:r>
              <w:rPr>
                <w:rFonts w:ascii="Calibri" w:hAnsi="Calibri"/>
                <w:sz w:val="22"/>
              </w:rPr>
              <w:t>101.5</w:t>
            </w:r>
          </w:p>
        </w:tc>
        <w:tc>
          <w:tcPr>
            <w:tcW w:type="dxa" w:w="2160"/>
          </w:tcPr>
          <w:p>
            <w:r>
              <w:rPr>
                <w:rFonts w:ascii="Calibri" w:hAnsi="Calibri"/>
                <w:sz w:val="22"/>
              </w:rPr>
              <w:t>105.6</w:t>
            </w:r>
          </w:p>
        </w:tc>
      </w:tr>
      <w:tr>
        <w:tc>
          <w:tcPr>
            <w:tcW w:type="dxa" w:w="2160"/>
          </w:tcPr>
          <w:p>
            <w:r>
              <w:rPr>
                <w:rFonts w:ascii="Calibri" w:hAnsi="Calibri"/>
                <w:sz w:val="22"/>
              </w:rPr>
              <w:t>Jul 14 (Jon Lin departure 8-K)</w:t>
            </w:r>
          </w:p>
        </w:tc>
        <w:tc>
          <w:tcPr>
            <w:tcW w:type="dxa" w:w="2160"/>
          </w:tcPr>
          <w:p>
            <w:r>
              <w:rPr>
                <w:rFonts w:ascii="Calibri" w:hAnsi="Calibri"/>
                <w:sz w:val="22"/>
              </w:rPr>
              <w:t>93.9</w:t>
            </w:r>
          </w:p>
        </w:tc>
        <w:tc>
          <w:tcPr>
            <w:tcW w:type="dxa" w:w="2160"/>
          </w:tcPr>
          <w:p>
            <w:r>
              <w:rPr>
                <w:rFonts w:ascii="Calibri" w:hAnsi="Calibri"/>
                <w:sz w:val="22"/>
              </w:rPr>
              <w:t>101.9</w:t>
            </w:r>
          </w:p>
        </w:tc>
        <w:tc>
          <w:tcPr>
            <w:tcW w:type="dxa" w:w="2160"/>
          </w:tcPr>
          <w:p>
            <w:r>
              <w:rPr>
                <w:rFonts w:ascii="Calibri" w:hAnsi="Calibri"/>
                <w:sz w:val="22"/>
              </w:rPr>
              <w:t>105.6</w:t>
            </w:r>
          </w:p>
        </w:tc>
      </w:tr>
      <w:tr>
        <w:tc>
          <w:tcPr>
            <w:tcW w:type="dxa" w:w="2160"/>
          </w:tcPr>
          <w:p>
            <w:r>
              <w:rPr>
                <w:rFonts w:ascii="Calibri" w:hAnsi="Calibri"/>
                <w:sz w:val="22"/>
              </w:rPr>
              <w:t>Jul 24 (DLR earnings surge)</w:t>
            </w:r>
          </w:p>
        </w:tc>
        <w:tc>
          <w:tcPr>
            <w:tcW w:type="dxa" w:w="2160"/>
          </w:tcPr>
          <w:p>
            <w:r>
              <w:rPr>
                <w:rFonts w:ascii="Calibri" w:hAnsi="Calibri"/>
                <w:sz w:val="22"/>
              </w:rPr>
              <w:t>99.6</w:t>
            </w:r>
          </w:p>
        </w:tc>
        <w:tc>
          <w:tcPr>
            <w:tcW w:type="dxa" w:w="2160"/>
          </w:tcPr>
          <w:p>
            <w:r>
              <w:rPr>
                <w:rFonts w:ascii="Calibri" w:hAnsi="Calibri"/>
                <w:sz w:val="22"/>
              </w:rPr>
              <w:t>105.3</w:t>
            </w:r>
          </w:p>
        </w:tc>
        <w:tc>
          <w:tcPr>
            <w:tcW w:type="dxa" w:w="2160"/>
          </w:tcPr>
          <w:p>
            <w:r>
              <w:rPr>
                <w:rFonts w:ascii="Calibri" w:hAnsi="Calibri"/>
                <w:sz w:val="22"/>
              </w:rPr>
              <w:t>103.8</w:t>
            </w:r>
          </w:p>
        </w:tc>
      </w:tr>
      <w:tr>
        <w:tc>
          <w:tcPr>
            <w:tcW w:type="dxa" w:w="2160"/>
          </w:tcPr>
          <w:p>
            <w:r>
              <w:rPr>
                <w:rFonts w:ascii="Calibri" w:hAnsi="Calibri"/>
                <w:sz w:val="22"/>
              </w:rPr>
              <w:t>Jul 27 (Last close pre-earnings)</w:t>
            </w:r>
          </w:p>
        </w:tc>
        <w:tc>
          <w:tcPr>
            <w:tcW w:type="dxa" w:w="2160"/>
          </w:tcPr>
          <w:p>
            <w:r>
              <w:rPr>
                <w:rFonts w:ascii="Calibri" w:hAnsi="Calibri"/>
                <w:sz w:val="22"/>
              </w:rPr>
              <w:t>96.1</w:t>
            </w:r>
          </w:p>
        </w:tc>
        <w:tc>
          <w:tcPr>
            <w:tcW w:type="dxa" w:w="2160"/>
          </w:tcPr>
          <w:p>
            <w:r>
              <w:rPr>
                <w:rFonts w:ascii="Calibri" w:hAnsi="Calibri"/>
                <w:sz w:val="22"/>
              </w:rPr>
              <w:t>104.9</w:t>
            </w:r>
          </w:p>
        </w:tc>
        <w:tc>
          <w:tcPr>
            <w:tcW w:type="dxa" w:w="2160"/>
          </w:tcPr>
          <w:p>
            <w:r>
              <w:rPr>
                <w:rFonts w:ascii="Calibri" w:hAnsi="Calibri"/>
                <w:sz w:val="22"/>
              </w:rPr>
              <w:t>103.9</w:t>
            </w:r>
          </w:p>
        </w:tc>
      </w:tr>
    </w:tbl>
    <w:p>
      <w:r>
        <w:rPr>
          <w:rFonts w:ascii="Calibri" w:hAnsi="Calibri"/>
          <w:i/>
          <w:color w:val="525866"/>
          <w:sz w:val="22"/>
        </w:rPr>
        <w:t>Sector ETF used: XLRE (Real Estate Select Sector SPDR Fund) — appropriate for EQIX as a data center REIT. Material events marked: Jon Lin (Chief Business Officer) departure announced July 14, 2026; DLR Q2 earnings beat July 23–24, 2026.</w:t>
      </w:r>
    </w:p>
    <w:p>
      <w:r>
        <w:rPr>
          <w:rFonts w:ascii="Calibri" w:hAnsi="Calibri"/>
          <w:i/>
          <w:color w:val="525866"/>
          <w:sz w:val="22"/>
        </w:rPr>
        <w:t>Source: Stock Price Data (Yahoo Finance). Stock performance decomposition: NTM EV/EBITDA from 23.9x (3M ago) to 22.2x (current); NTM EV/Sales from 12.3x to 11.4x.</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CFO’s explicit Q2 revenue confirmation at Nareit (June 3), which de-risks the headline; the Jon Lin departure (July 14) is the key overhang to watch for management commentary on the call.</w:t>
      </w:r>
    </w:p>
    <w:p>
      <w:pPr>
        <w:pStyle w:val="ListBullet"/>
        <w:ind w:left="360" w:hanging="360"/>
      </w:pPr>
      <w:r>
        <w:rPr>
          <w:rFonts w:ascii="Calibri" w:hAnsi="Calibri"/>
          <w:color w:val="525866"/>
          <w:sz w:val="22"/>
        </w:rPr>
        <w:t xml:space="preserve">June 3, 2026 — Nareit REITweek: CFO Olivier Leonetti explicitly confirmed double-digit recurring revenue growth in Q2 2026 (“We did that in Q1. We did that in Q2.”), 51% EBITDA margins, and 10% AFFO per share growth for the year. </w:t>
      </w:r>
      <w:r>
        <w:rPr>
          <w:rFonts w:ascii="Calibri" w:hAnsi="Calibri"/>
          <w:b/>
          <w:color w:val="525866"/>
          <w:sz w:val="22"/>
        </w:rPr>
        <w:t>Implication: Reduces headline miss risk materially; the print is largely pre-confirmed on the key metrics.</w:t>
      </w:r>
    </w:p>
    <w:p>
      <w:pPr>
        <w:pStyle w:val="ListBullet"/>
        <w:ind w:left="360" w:hanging="360"/>
      </w:pPr>
      <w:r>
        <w:rPr>
          <w:rFonts w:ascii="Calibri" w:hAnsi="Calibri"/>
          <w:color w:val="525866"/>
          <w:sz w:val="22"/>
        </w:rPr>
        <w:t xml:space="preserve">July 14, 2026 — Jon Lin (Chief Business Officer) departure (8-K filed July 14, effective July 18): Equinix announced that CBO Jon Lin will separate from the company, with responsibilities distributed across the existing senior leadership team. A new Chief Product Officer is expected to be announced. </w:t>
      </w:r>
      <w:r>
        <w:rPr>
          <w:rFonts w:ascii="Calibri" w:hAnsi="Calibri"/>
          <w:b/>
          <w:color w:val="525866"/>
          <w:sz w:val="22"/>
        </w:rPr>
        <w:t>Implication: Second senior departure in two months (Chief Accounting Officer Simon Miller announced retirement May 11); watch for analyst questions on leadership stability and strategic continuity.</w:t>
      </w:r>
    </w:p>
    <w:p>
      <w:pPr>
        <w:pStyle w:val="ListBullet"/>
        <w:ind w:left="360" w:hanging="360"/>
      </w:pPr>
      <w:r>
        <w:rPr>
          <w:rFonts w:ascii="Calibri" w:hAnsi="Calibri"/>
          <w:color w:val="525866"/>
          <w:sz w:val="22"/>
        </w:rPr>
        <w:t xml:space="preserve">May 11, 2026 — Chief Accounting Officer Simon Miller retirement (8-K): Miller announced his retirement, adding to the leadership transition narrative alongside the new CFO (Olivier Leonetti, joined March 2026). </w:t>
      </w:r>
      <w:r>
        <w:rPr>
          <w:rFonts w:ascii="Calibri" w:hAnsi="Calibri"/>
          <w:b/>
          <w:color w:val="525866"/>
          <w:sz w:val="22"/>
        </w:rPr>
        <w:t>Implication: Three senior leadership changes in one quarter; management will likely need to address organizational stability on the call.</w:t>
      </w:r>
    </w:p>
    <w:p>
      <w:pPr>
        <w:pStyle w:val="ListBullet"/>
        <w:ind w:left="360" w:hanging="360"/>
      </w:pPr>
      <w:r>
        <w:rPr>
          <w:rFonts w:ascii="Calibri" w:hAnsi="Calibri"/>
          <w:color w:val="525866"/>
          <w:sz w:val="22"/>
        </w:rPr>
        <w:t xml:space="preserve">May 7, 2026 — Senior Notes Offering ($1.5B, blended 3.1% effective rate): Equinix subsidiary finalized a senior notes offering, consistent with the debt-first capital allocation strategy articulated by the new CFO. </w:t>
      </w:r>
      <w:r>
        <w:rPr>
          <w:rFonts w:ascii="Calibri" w:hAnsi="Calibri"/>
          <w:b/>
          <w:color w:val="525866"/>
          <w:sz w:val="22"/>
        </w:rPr>
        <w:t>Implication: Proactive balance sheet management; demonstrates continued access to low-cost debt capital to fund the Build Bolder expansion.</w:t>
      </w:r>
    </w:p>
    <w:p>
      <w:pPr>
        <w:pStyle w:val="ListBullet"/>
        <w:ind w:left="360" w:hanging="360"/>
      </w:pPr>
      <w:r>
        <w:rPr>
          <w:rFonts w:ascii="Calibri" w:hAnsi="Calibri"/>
          <w:color w:val="525866"/>
          <w:sz w:val="22"/>
        </w:rPr>
        <w:t xml:space="preserve">May 14, 2026 — Equinix Fabric Geo Zones global expansion: Announced global expansion of Fabric Geo Zones across five continents — the first network-level, multicloud sovereignty solution — available in preview across Australia, Brazil, Canada, Japan, Switzerland, UK, and US, with EU availability in June. </w:t>
      </w:r>
      <w:r>
        <w:rPr>
          <w:rFonts w:ascii="Calibri" w:hAnsi="Calibri"/>
          <w:b/>
          <w:color w:val="525866"/>
          <w:sz w:val="22"/>
        </w:rPr>
        <w:t>Implication: Strengthens the interconnection moat and addresses enterprise data sovereignty requirements; a potential driver of Fabric bookings growth in Q2.</w:t>
      </w:r>
    </w:p>
    <w:p>
      <w:pPr>
        <w:pStyle w:val="ListBullet"/>
        <w:ind w:left="360" w:hanging="360"/>
      </w:pPr>
      <w:r>
        <w:rPr>
          <w:rFonts w:ascii="Calibri" w:hAnsi="Calibri"/>
          <w:color w:val="525866"/>
          <w:sz w:val="22"/>
        </w:rPr>
        <w:t>May 15, 2026 — Annual Shareholder Meeting (8-K): Shareholders reelected the board and rejected a proposal to lower the special meeting threshold. No material governance changes.</w:t>
      </w:r>
    </w:p>
    <w:p>
      <w:pPr>
        <w:pStyle w:val="ListBullet"/>
        <w:ind w:left="360" w:hanging="360"/>
      </w:pPr>
      <w:r>
        <w:rPr>
          <w:rFonts w:ascii="Calibri" w:hAnsi="Calibri"/>
          <w:color w:val="525866"/>
          <w:sz w:val="22"/>
        </w:rPr>
        <w:t xml:space="preserve">July 23–24, 2026 — Digital Realty (DLR) Q2 2026 earnings beat: DLR reported record Core FFO per share, raised FY 2026 guidance, and signed $410M of hyperscale leases in July alone. DLR stock surged ~15% on July 24, pulling EQIX up to $1,084 (+4.7% on the day). </w:t>
      </w:r>
      <w:r>
        <w:rPr>
          <w:rFonts w:ascii="Calibri" w:hAnsi="Calibri"/>
          <w:b/>
          <w:color w:val="525866"/>
          <w:sz w:val="22"/>
        </w:rPr>
        <w:t>Implication: Strongest positive peer read-through in the sector; validates robust data center demand environment heading into EQIX’s print.</w:t>
      </w:r>
    </w:p>
    <w:p>
      <w:pPr>
        <w:pStyle w:val="ListBullet"/>
        <w:ind w:left="360" w:hanging="360"/>
      </w:pPr>
      <w:r>
        <w:rPr>
          <w:rFonts w:ascii="Calibri" w:hAnsi="Calibri"/>
          <w:color w:val="525866"/>
          <w:sz w:val="22"/>
        </w:rPr>
        <w:t xml:space="preserve">July 28, 2026 — American Tower (AMT) Q2 2026 earnings: AMT reported record leasing at Coresite (data center segment), raised FY 2026 data center revenue growth outlook to ~15% (from 13%), and cited broad-based demand from hyperscalers, AI innovators, and enterprises. </w:t>
      </w:r>
      <w:r>
        <w:rPr>
          <w:rFonts w:ascii="Calibri" w:hAnsi="Calibri"/>
          <w:b/>
          <w:color w:val="525866"/>
          <w:sz w:val="22"/>
        </w:rPr>
        <w:t>Implication: Second consecutive peer data center beat in two days; further de-risks EQIX’s demand narrative.</w:t>
      </w:r>
    </w:p>
    <w:p>
      <w:pPr>
        <w:pStyle w:val="ListBullet"/>
        <w:ind w:left="360" w:hanging="360"/>
      </w:pPr>
      <w:r>
        <w:rPr>
          <w:rFonts w:ascii="Calibri" w:hAnsi="Calibri"/>
          <w:color w:val="525866"/>
          <w:sz w:val="22"/>
        </w:rPr>
        <w:t xml:space="preserve">Ongoing — atNorth acquisition (announced Q1): Joint agreement with CPPIB to acquire atNorth (Nordic data center platform, ~800 MW pipeline over 5 years) remains subject to closing conditions. Expected to be immediately accretive to AFFO per share upon close. </w:t>
      </w:r>
      <w:r>
        <w:rPr>
          <w:rFonts w:ascii="Calibri" w:hAnsi="Calibri"/>
          <w:b/>
          <w:color w:val="525866"/>
          <w:sz w:val="22"/>
        </w:rPr>
        <w:t>Implication: Watch for closing timeline update on the Q2 call.</w:t>
      </w:r>
    </w:p>
    <w:p>
      <w:r>
        <w:br w:type="page"/>
      </w:r>
    </w:p>
    <w:p>
      <w:pPr>
        <w:pStyle w:val="Heading1"/>
        <w:pBdr>
          <w:bottom w:val="single" w:sz="4" w:space="1" w:color="FB9120"/>
        </w:pBdr>
      </w:pPr>
      <w:r>
        <w:rPr>
          <w:rFonts w:ascii="Calibri" w:hAnsi="Calibri"/>
          <w:b/>
          <w:color w:val="3B4259"/>
          <w:sz w:val="40"/>
        </w:rPr>
        <w:t>7. Peer Commentary Read-Through</w:t>
      </w:r>
    </w:p>
    <w:p>
      <w:r>
        <w:rPr>
          <w:rFonts w:ascii="Calibri" w:hAnsi="Calibri"/>
          <w:b/>
          <w:color w:val="525866"/>
          <w:sz w:val="22"/>
        </w:rPr>
        <w:t xml:space="preserve">Key Takeaway: </w:t>
      </w:r>
      <w:r>
        <w:rPr>
          <w:rFonts w:ascii="Calibri" w:hAnsi="Calibri"/>
          <w:color w:val="525866"/>
          <w:sz w:val="22"/>
        </w:rPr>
        <w:t>Both DLR (July 23) and AMT/Coresite (July 28) reported record data center leasing, raised full-year guidance, and cited accelerating AI and hyperscaler demand — the strongest back-to-back peer read-throughs in the sector’s recent history and a direct positive signal for EQIX’s Q2 print.</w:t>
      </w:r>
    </w:p>
    <w:p>
      <w:r>
        <w:rPr>
          <w:rFonts w:ascii="Calibri" w:hAnsi="Calibri"/>
          <w:i/>
          <w:color w:val="525866"/>
          <w:sz w:val="22"/>
        </w:rPr>
        <w:t>Scope: Only commentary published May 29–July 28, 2026 that discusses Q2 2026 current conditions, Q3 2026 outlook, or still-applicable FY 2026 guidance. Backward-looking Q1 2026 result commentary is excluded.</w:t>
      </w:r>
    </w:p>
    <w:p>
      <w:pPr>
        <w:pStyle w:val="Heading2"/>
      </w:pPr>
      <w:r>
        <w:rPr>
          <w:rFonts w:ascii="Calibri" w:hAnsi="Calibri"/>
          <w:b/>
          <w:color w:val="3B4259"/>
          <w:sz w:val="28"/>
        </w:rPr>
        <w:t>Digital Realty (DLR) — Q2 2026 Earnings (July 23, 2026)</w:t>
      </w:r>
    </w:p>
    <w:p>
      <w:r>
        <w:rPr>
          <w:rFonts w:ascii="Calibri" w:hAnsi="Calibri"/>
          <w:i/>
          <w:color w:val="525866"/>
          <w:sz w:val="22"/>
        </w:rPr>
        <w:t>Relevance: DLR is EQIX’s closest global data center REIT peer, serving overlapping hyperscaler, enterprise, and interconnection customer bases.</w:t>
      </w:r>
    </w:p>
    <w:p>
      <w:pPr>
        <w:pStyle w:val="ListBullet"/>
        <w:ind w:left="360" w:hanging="360"/>
      </w:pPr>
      <w:r>
        <w:rPr>
          <w:rFonts w:ascii="Calibri" w:hAnsi="Calibri"/>
          <w:b/>
          <w:color w:val="525866"/>
          <w:sz w:val="22"/>
        </w:rPr>
        <w:t xml:space="preserve">Record leasing and backlog: </w:t>
      </w:r>
      <w:r>
        <w:rPr>
          <w:rFonts w:ascii="Calibri" w:hAnsi="Calibri"/>
          <w:color w:val="525866"/>
          <w:sz w:val="22"/>
        </w:rPr>
        <w:t>DLR achieved a third consecutive quarterly record in its 0–1 MW plus interconnection business, delivering $108M of bookings (up 11% over the prior record set last quarter). Total backlog reached a new record of $1.9B at 100% share ($1.4B at DLR share), up 75% since the beginning of the year. “Before accounting for the post quarter signings, the backlog was roughly 30% of in-place data center revenue at the end of June, which should support multiple years of double digit growth.”</w:t>
      </w:r>
    </w:p>
    <w:p>
      <w:pPr>
        <w:pStyle w:val="ListBullet"/>
        <w:ind w:left="360" w:hanging="360"/>
      </w:pPr>
      <w:r>
        <w:rPr>
          <w:rFonts w:ascii="Calibri" w:hAnsi="Calibri"/>
          <w:b/>
          <w:color w:val="525866"/>
          <w:sz w:val="22"/>
        </w:rPr>
        <w:t xml:space="preserve">Hyperscale demand remains healthy and increasingly global: </w:t>
      </w:r>
      <w:r>
        <w:rPr>
          <w:rFonts w:ascii="Calibri" w:hAnsi="Calibri"/>
          <w:color w:val="525866"/>
          <w:sz w:val="22"/>
        </w:rPr>
        <w:t>Subsequent to Q2 end, DLR signed two additional hyperscale leases in July representing $410M of annualized GAAP base rent at 100% share. Year-to-date signings of ~$1.4B are “already eclipsing basically what we did for the entirety on a total signings basis of last year.” Hyperscale leasing described as “healthy and increasingly global, though the pace and scale of activity vary across regions.”</w:t>
      </w:r>
    </w:p>
    <w:p>
      <w:pPr>
        <w:pStyle w:val="ListBullet"/>
        <w:ind w:left="360" w:hanging="360"/>
      </w:pPr>
      <w:r>
        <w:rPr>
          <w:rFonts w:ascii="Calibri" w:hAnsi="Calibri"/>
          <w:b/>
          <w:color w:val="525866"/>
          <w:sz w:val="22"/>
        </w:rPr>
        <w:t xml:space="preserve">AI demand accelerating — inference and Agentic: </w:t>
      </w:r>
      <w:r>
        <w:rPr>
          <w:rFonts w:ascii="Calibri" w:hAnsi="Calibri"/>
          <w:color w:val="525866"/>
          <w:sz w:val="22"/>
        </w:rPr>
        <w:t>“In 2026, there’s more inference tokens being produced than actual training.” The next step — Agentic AI — “requires a different type of capability, which is bidirectional.” AI-related wins represented roughly 20% of the $108M 0–1 MW category bookings. Customers are “establishing private on-ramps that enable the direct transfer of massive data volumes between cloud and AI environments.”</w:t>
      </w:r>
    </w:p>
    <w:p>
      <w:pPr>
        <w:pStyle w:val="ListBullet"/>
        <w:ind w:left="360" w:hanging="360"/>
      </w:pPr>
      <w:r>
        <w:rPr>
          <w:rFonts w:ascii="Calibri" w:hAnsi="Calibri"/>
          <w:b/>
          <w:color w:val="525866"/>
          <w:sz w:val="22"/>
        </w:rPr>
        <w:t xml:space="preserve">Pricing power: exceptional renewal spreads: </w:t>
      </w:r>
      <w:r>
        <w:rPr>
          <w:rFonts w:ascii="Calibri" w:hAnsi="Calibri"/>
          <w:color w:val="525866"/>
          <w:sz w:val="22"/>
        </w:rPr>
        <w:t>DLR signed over $261M of renewals with cash releasing spreads over 25%, “reflecting the growing supply demand imbalance in certain markets.” Hyperscale renewals (&gt;1 MW) delivered a “remarkable 66.7% mark-to-market renewal.” Full-year 2026 cash renewal spread guidance raised to 9–11% (up 250 bps from last quarter). “Expiring rates continue to drop over the next several years while market rates continue to march up.”</w:t>
      </w:r>
    </w:p>
    <w:p>
      <w:pPr>
        <w:pStyle w:val="ListBullet"/>
        <w:ind w:left="360" w:hanging="360"/>
      </w:pPr>
      <w:r>
        <w:rPr>
          <w:rFonts w:ascii="Calibri" w:hAnsi="Calibri"/>
          <w:b/>
          <w:color w:val="525866"/>
          <w:sz w:val="22"/>
        </w:rPr>
        <w:t xml:space="preserve">Interconnection bookings at record: </w:t>
      </w:r>
      <w:r>
        <w:rPr>
          <w:rFonts w:ascii="Calibri" w:hAnsi="Calibri"/>
          <w:color w:val="525866"/>
          <w:sz w:val="22"/>
        </w:rPr>
        <w:t>Interconnection bookings of $20.5M in Q2 marked a new record, up 18% from the prior year. “The 0 to 1MW business continues to provide an attractive combination of near-term revenue conversion, pricing power, and recurring growth.”</w:t>
      </w:r>
    </w:p>
    <w:p>
      <w:pPr>
        <w:pStyle w:val="ListBullet"/>
        <w:ind w:left="360" w:hanging="360"/>
      </w:pPr>
      <w:r>
        <w:rPr>
          <w:rFonts w:ascii="Calibri" w:hAnsi="Calibri"/>
          <w:b/>
          <w:color w:val="525866"/>
          <w:sz w:val="22"/>
        </w:rPr>
        <w:t xml:space="preserve">Guidance raised: </w:t>
      </w:r>
      <w:r>
        <w:rPr>
          <w:rFonts w:ascii="Calibri" w:hAnsi="Calibri"/>
          <w:color w:val="525866"/>
          <w:sz w:val="22"/>
        </w:rPr>
        <w:t>DLR raised FY 2026 Core FFO per share guidance to $8.15–$8.20 (from $8.00–$8.10), implying 10% constant currency growth at the midpoint. Total revenue guidance raised to $6.85–$6.95B (from $6.65–$6.75B). Development CapEx guidance raised to $4.25–$4.75B (from $3.5–$4.0B), “driven by our recent leasing success and the strong demand outlook.”</w:t>
      </w:r>
    </w:p>
    <w:p>
      <w:pPr>
        <w:pStyle w:val="ListBullet"/>
        <w:ind w:left="360" w:hanging="360"/>
      </w:pPr>
      <w:r>
        <w:rPr>
          <w:rFonts w:ascii="Calibri" w:hAnsi="Calibri"/>
          <w:b/>
          <w:color w:val="525866"/>
          <w:sz w:val="22"/>
        </w:rPr>
        <w:t xml:space="preserve">Development pipeline doubled in H1 2026: </w:t>
      </w:r>
      <w:r>
        <w:rPr>
          <w:rFonts w:ascii="Calibri" w:hAnsi="Calibri"/>
          <w:color w:val="525866"/>
          <w:sz w:val="22"/>
        </w:rPr>
        <w:t>Pipeline expanded to 1.4 GW under construction at a total cost of $20B, “representing a 100% increase during the first half of 2026.” Pipeline is 63% pre-leased at an 11.5% average expected stabilized yield. “More than 80% of our active development pipeline is located in the Americas, reflecting outsized demand from hyperscale, cloud and AI oriented workloads.”</w:t>
      </w:r>
    </w:p>
    <w:p>
      <w:pPr>
        <w:pStyle w:val="Heading2"/>
      </w:pPr>
      <w:r>
        <w:rPr>
          <w:rFonts w:ascii="Calibri" w:hAnsi="Calibri"/>
          <w:b/>
          <w:color w:val="3B4259"/>
          <w:sz w:val="28"/>
        </w:rPr>
        <w:t>American Tower / Coresite (AMT) — Q2 2026 Earnings (July 28, 2026)</w:t>
      </w:r>
    </w:p>
    <w:p>
      <w:r>
        <w:rPr>
          <w:rFonts w:ascii="Calibri" w:hAnsi="Calibri"/>
          <w:i/>
          <w:color w:val="525866"/>
          <w:sz w:val="22"/>
        </w:rPr>
        <w:t>Relevance: AMT’s Coresite data center segment is a direct retail colocation and interconnection peer to EQIX, serving overlapping enterprise, cloud, and AI customer bases in major US metros.</w:t>
      </w:r>
    </w:p>
    <w:p>
      <w:pPr>
        <w:pStyle w:val="ListBullet"/>
        <w:ind w:left="360" w:hanging="360"/>
      </w:pPr>
      <w:r>
        <w:rPr>
          <w:rFonts w:ascii="Calibri" w:hAnsi="Calibri"/>
          <w:b/>
          <w:color w:val="525866"/>
          <w:sz w:val="22"/>
        </w:rPr>
        <w:t xml:space="preserve">Record leasing at Coresite — fifth consecutive quarter of double-digit revenue growth: </w:t>
      </w:r>
      <w:r>
        <w:rPr>
          <w:rFonts w:ascii="Calibri" w:hAnsi="Calibri"/>
          <w:color w:val="525866"/>
          <w:sz w:val="22"/>
        </w:rPr>
        <w:t>Coresite “delivered another record leasing performance” in Q2 2026, adding “more new business this quarter than we did for the entire year of 2021.” AMT raised its FY 2026 data center revenue growth outlook to approximately 15% YoY (from 13% prior), driven by “data center outperformance.” CEO Steve Vondran: “Coresite remains the fastest growing segment of our business, and this quarter delivered another record leasing performance, reinforcing our conviction that 2026 has the potential to be another record year for the business.”</w:t>
      </w:r>
    </w:p>
    <w:p>
      <w:pPr>
        <w:pStyle w:val="ListBullet"/>
        <w:ind w:left="360" w:hanging="360"/>
      </w:pPr>
      <w:r>
        <w:rPr>
          <w:rFonts w:ascii="Calibri" w:hAnsi="Calibri"/>
          <w:b/>
          <w:color w:val="525866"/>
          <w:sz w:val="22"/>
        </w:rPr>
        <w:t xml:space="preserve">Broad-based demand: hyperscalers, enterprises, AI innovators: </w:t>
      </w:r>
      <w:r>
        <w:rPr>
          <w:rFonts w:ascii="Calibri" w:hAnsi="Calibri"/>
          <w:color w:val="525866"/>
          <w:sz w:val="22"/>
        </w:rPr>
        <w:t>“Demand remains broad based, spanning hyperscale cloud providers, enterprises, network operators, AI innovators and a growing number of cloud-to-cloud connectivity deployments.” Nine of the top 10 AI companies and three of the top five neoclouds are deployed within Coresite facilities. “As AI inferencing scales, Coresite’s strategic position at the center of these ecosystems will only become more valuable.”</w:t>
      </w:r>
    </w:p>
    <w:p>
      <w:pPr>
        <w:pStyle w:val="ListBullet"/>
        <w:ind w:left="360" w:hanging="360"/>
      </w:pPr>
      <w:r>
        <w:rPr>
          <w:rFonts w:ascii="Calibri" w:hAnsi="Calibri"/>
          <w:b/>
          <w:color w:val="525866"/>
          <w:sz w:val="22"/>
        </w:rPr>
        <w:t xml:space="preserve">Interconnection inflection: </w:t>
      </w:r>
      <w:r>
        <w:rPr>
          <w:rFonts w:ascii="Calibri" w:hAnsi="Calibri"/>
          <w:color w:val="525866"/>
          <w:sz w:val="22"/>
        </w:rPr>
        <w:t>AMT cited “very strong trends in mark-to-market and inflection interconnection activity” in Q2. The acceleration is “partially driven by AI and partially driven by the continued adoption of cloud tools.” Customers seek to be “natively co-located with their cloud providers, with their inferencing providers, so they can connect their data sets, their enterprise data sets to these large models.”</w:t>
      </w:r>
    </w:p>
    <w:p>
      <w:pPr>
        <w:pStyle w:val="ListBullet"/>
        <w:ind w:left="360" w:hanging="360"/>
      </w:pPr>
      <w:r>
        <w:rPr>
          <w:rFonts w:ascii="Calibri" w:hAnsi="Calibri"/>
          <w:b/>
          <w:color w:val="525866"/>
          <w:sz w:val="22"/>
        </w:rPr>
        <w:t xml:space="preserve">Pre-leasing discipline — pricing is dynamic: </w:t>
      </w:r>
      <w:r>
        <w:rPr>
          <w:rFonts w:ascii="Calibri" w:hAnsi="Calibri"/>
          <w:color w:val="525866"/>
          <w:sz w:val="22"/>
        </w:rPr>
        <w:t>AMT is being “disciplined to make sure that we’re maximizing the yield” on new facilities, choosing not to pre-lease everything “because the demand environment is so robust and pricing is so dynamic. We don’t want to end up underpricing it.” This is a direct positive read-through for EQIX’s pricing power narrative.</w:t>
      </w:r>
    </w:p>
    <w:p>
      <w:pPr>
        <w:pStyle w:val="ListBullet"/>
        <w:ind w:left="360" w:hanging="360"/>
      </w:pPr>
      <w:r>
        <w:rPr>
          <w:rFonts w:ascii="Calibri" w:hAnsi="Calibri"/>
          <w:b/>
          <w:color w:val="525866"/>
          <w:sz w:val="22"/>
        </w:rPr>
        <w:t xml:space="preserve">Capacity expansion: pipeline to nearly triple: </w:t>
      </w:r>
      <w:r>
        <w:rPr>
          <w:rFonts w:ascii="Calibri" w:hAnsi="Calibri"/>
          <w:color w:val="525866"/>
          <w:sz w:val="22"/>
        </w:rPr>
        <w:t>Since acquiring Coresite in 2021, AMT has grown megawatts in service by 1.5x, with a development pipeline providing “a clear path to nearly triple our capacity.” Plans to spend over $700M on data center development in 2026. Targeting “mid-teens or better stabilized yields on all incremental new investments.”</w:t>
      </w:r>
    </w:p>
    <w:p>
      <w:pPr>
        <w:pStyle w:val="ListBullet"/>
        <w:ind w:left="360" w:hanging="360"/>
      </w:pPr>
      <w:r>
        <w:rPr>
          <w:rFonts w:ascii="Calibri" w:hAnsi="Calibri"/>
          <w:b/>
          <w:color w:val="525866"/>
          <w:sz w:val="22"/>
        </w:rPr>
        <w:t xml:space="preserve">Digital infrastructure secular demand: </w:t>
      </w:r>
      <w:r>
        <w:rPr>
          <w:rFonts w:ascii="Calibri" w:hAnsi="Calibri"/>
          <w:color w:val="525866"/>
          <w:sz w:val="22"/>
        </w:rPr>
        <w:t>CEO Vondran: “Mobile data consumption continues to grow at an extraordinary pace, cloud adoption remains strong, AI-driven applications are rapidly scaling, and network architectures are evolving to support a more connected and data-intensive world. We believe these powerful secular trends are creating a multi-year demand cycle for the digital infrastructure that underpins the global economy.”</w:t>
      </w:r>
    </w:p>
    <w:p>
      <w:pPr>
        <w:pStyle w:val="ListBullet"/>
        <w:ind w:left="360" w:hanging="360"/>
      </w:pPr>
      <w:r>
        <w:rPr>
          <w:rFonts w:ascii="Calibri" w:hAnsi="Calibri"/>
          <w:b/>
          <w:color w:val="525866"/>
          <w:sz w:val="22"/>
        </w:rPr>
        <w:t xml:space="preserve">FY 2026 guidance raised: </w:t>
      </w:r>
      <w:r>
        <w:rPr>
          <w:rFonts w:ascii="Calibri" w:hAnsi="Calibri"/>
          <w:color w:val="525866"/>
          <w:sz w:val="22"/>
        </w:rPr>
        <w:t>AMT raised FY 2026 property revenue midpoint by $110M, Adjusted EBITDA midpoint by $45M, and AFFO per share midpoint by $0.09, with “Data Center outperformance” cited as a key driver alongside FX tailwinds.</w:t>
      </w:r>
    </w:p>
    <w:p>
      <w:r>
        <w:rPr>
          <w:rFonts w:ascii="Calibri" w:hAnsi="Calibri"/>
          <w:i/>
          <w:color w:val="525866"/>
          <w:sz w:val="22"/>
        </w:rPr>
        <w:t>Sources: DLR Q2 2026 Earnings Release and Earnings Call Transcript (July 23, 2026); AMT Q2 2026 Earnings Release and Earnings Call Transcript (July 28, 2026).</w:t>
      </w:r>
    </w:p>
    <w:p>
      <w:r>
        <w:br w:type="page"/>
      </w:r>
    </w:p>
    <w:p>
      <w:pPr>
        <w:pStyle w:val="Heading1"/>
        <w:pBdr>
          <w:bottom w:val="single" w:sz="4" w:space="1" w:color="FB9120"/>
        </w:pBdr>
      </w:pPr>
      <w:r>
        <w:rPr>
          <w:rFonts w:ascii="Calibri" w:hAnsi="Calibri"/>
          <w:b/>
          <w:color w:val="3B4259"/>
          <w:sz w:val="40"/>
        </w:rPr>
        <w:t>9. Key Questions for the Call</w:t>
      </w:r>
    </w:p>
    <w:p>
      <w:pPr>
        <w:pStyle w:val="ListNumber"/>
        <w:ind w:left="360" w:hanging="360"/>
      </w:pPr>
      <w:r>
        <w:rPr>
          <w:rFonts w:ascii="Calibri" w:hAnsi="Calibri"/>
          <w:b/>
          <w:color w:val="525866"/>
          <w:sz w:val="22"/>
        </w:rPr>
        <w:t xml:space="preserve">Hampton xScale lease — confirmed closed? </w:t>
      </w:r>
      <w:r>
        <w:rPr>
          <w:rFonts w:ascii="Calibri" w:hAnsi="Calibri"/>
          <w:color w:val="525866"/>
          <w:sz w:val="22"/>
        </w:rPr>
        <w:t>Has the Hampton xScale lease been signed on the expanded terms ($80M revenue, $65M AFFO contribution)? If not, what is the revised timeline and are the economics still intact?</w:t>
      </w:r>
    </w:p>
    <w:p>
      <w:pPr>
        <w:pStyle w:val="ListNumber"/>
        <w:ind w:left="360" w:hanging="360"/>
      </w:pPr>
      <w:r>
        <w:rPr>
          <w:rFonts w:ascii="Calibri" w:hAnsi="Calibri"/>
          <w:b/>
          <w:color w:val="525866"/>
          <w:sz w:val="22"/>
        </w:rPr>
        <w:t xml:space="preserve">Q2 bookings and presales — can the record Q1 pace be sustained? </w:t>
      </w:r>
      <w:r>
        <w:rPr>
          <w:rFonts w:ascii="Calibri" w:hAnsi="Calibri"/>
          <w:color w:val="525866"/>
          <w:sz w:val="22"/>
        </w:rPr>
        <w:t>Q1 annualized gross bookings were $378M with $140M of presales (record). What is the Q2 bookings figure, and is the proportion of AI-related deals (60% in Q1) holding or accelerating?</w:t>
      </w:r>
    </w:p>
    <w:p>
      <w:pPr>
        <w:pStyle w:val="ListNumber"/>
        <w:ind w:left="360" w:hanging="360"/>
      </w:pPr>
      <w:r>
        <w:rPr>
          <w:rFonts w:ascii="Calibri" w:hAnsi="Calibri"/>
          <w:b/>
          <w:color w:val="525866"/>
          <w:sz w:val="22"/>
        </w:rPr>
        <w:t xml:space="preserve">Churn normalization — is 1.7% Q1 churn a new baseline or a timing benefit? </w:t>
      </w:r>
      <w:r>
        <w:rPr>
          <w:rFonts w:ascii="Calibri" w:hAnsi="Calibri"/>
          <w:color w:val="525866"/>
          <w:sz w:val="22"/>
        </w:rPr>
        <w:t>Management attributed Q1’s 1.7% churn partly to delayed churn. What is Q2 churn, and is the company still tracking toward the low end of the 2.0–2.5% full-year range?</w:t>
      </w:r>
    </w:p>
    <w:p>
      <w:pPr>
        <w:pStyle w:val="ListNumber"/>
        <w:ind w:left="360" w:hanging="360"/>
      </w:pPr>
      <w:r>
        <w:rPr>
          <w:rFonts w:ascii="Calibri" w:hAnsi="Calibri"/>
          <w:b/>
          <w:color w:val="525866"/>
          <w:sz w:val="22"/>
        </w:rPr>
        <w:t xml:space="preserve">Interconnection and Fabric momentum — can 26% Fabric revenue growth and 70% Fabric bookings growth continue? </w:t>
      </w:r>
      <w:r>
        <w:rPr>
          <w:rFonts w:ascii="Calibri" w:hAnsi="Calibri"/>
          <w:color w:val="525866"/>
          <w:sz w:val="22"/>
        </w:rPr>
        <w:t>What are Q2 interconnection revenue growth and Fabric-specific metrics? Is the attach rate still increasing?</w:t>
      </w:r>
    </w:p>
    <w:p>
      <w:pPr>
        <w:pStyle w:val="ListNumber"/>
        <w:ind w:left="360" w:hanging="360"/>
      </w:pPr>
      <w:r>
        <w:rPr>
          <w:rFonts w:ascii="Calibri" w:hAnsi="Calibri"/>
          <w:b/>
          <w:color w:val="525866"/>
          <w:sz w:val="22"/>
        </w:rPr>
        <w:t xml:space="preserve">Leadership transitions — Jon Lin departure and CPO search: </w:t>
      </w:r>
      <w:r>
        <w:rPr>
          <w:rFonts w:ascii="Calibri" w:hAnsi="Calibri"/>
          <w:color w:val="525866"/>
          <w:sz w:val="22"/>
        </w:rPr>
        <w:t>How are CBO responsibilities being distributed? What is the timeline for the new Chief Product Officer announcement, and does the departure affect the Distributed AI Hub or Fabric Intelligence product roadmap?</w:t>
      </w:r>
    </w:p>
    <w:p>
      <w:pPr>
        <w:pStyle w:val="ListNumber"/>
        <w:ind w:left="360" w:hanging="360"/>
      </w:pPr>
      <w:r>
        <w:rPr>
          <w:rFonts w:ascii="Calibri" w:hAnsi="Calibri"/>
          <w:b/>
          <w:color w:val="525866"/>
          <w:sz w:val="22"/>
        </w:rPr>
        <w:t xml:space="preserve">atNorth acquisition — closing timeline and AFFO accretion: </w:t>
      </w:r>
      <w:r>
        <w:rPr>
          <w:rFonts w:ascii="Calibri" w:hAnsi="Calibri"/>
          <w:color w:val="525866"/>
          <w:sz w:val="22"/>
        </w:rPr>
        <w:t>What is the expected closing date for the atNorth/CPPIB transaction? Has the AFFO accretion estimate changed since the Q1 announcement?</w:t>
      </w:r>
    </w:p>
    <w:p>
      <w:pPr>
        <w:pStyle w:val="ListNumber"/>
        <w:ind w:left="360" w:hanging="360"/>
      </w:pPr>
      <w:r>
        <w:rPr>
          <w:rFonts w:ascii="Calibri" w:hAnsi="Calibri"/>
          <w:b/>
          <w:color w:val="525866"/>
          <w:sz w:val="22"/>
        </w:rPr>
        <w:t xml:space="preserve">Liquid cooling deployments — Q2 update: </w:t>
      </w:r>
      <w:r>
        <w:rPr>
          <w:rFonts w:ascii="Calibri" w:hAnsi="Calibri"/>
          <w:color w:val="525866"/>
          <w:sz w:val="22"/>
        </w:rPr>
        <w:t>Q1 saw 36 total deployments with 7 new orders (up 50% QoQ). What is the Q2 deployment count and order pipeline? Is the density ramp accelerating?</w:t>
      </w:r>
    </w:p>
    <w:p>
      <w:pPr>
        <w:pStyle w:val="ListNumber"/>
        <w:ind w:left="360" w:hanging="360"/>
      </w:pPr>
      <w:r>
        <w:rPr>
          <w:rFonts w:ascii="Calibri" w:hAnsi="Calibri"/>
          <w:b/>
          <w:color w:val="525866"/>
          <w:sz w:val="22"/>
        </w:rPr>
        <w:t xml:space="preserve">FY 2026 guidance — is there room for another raise? </w:t>
      </w:r>
      <w:r>
        <w:rPr>
          <w:rFonts w:ascii="Calibri" w:hAnsi="Calibri"/>
          <w:color w:val="525866"/>
          <w:sz w:val="22"/>
        </w:rPr>
        <w:t>With consensus AFFO per share of $43.14 already above the top of the guidance range ($43.11), does management see room to raise the full-year outlook again, or is the current range the ceiling?</w:t>
      </w:r>
    </w:p>
    <w:p>
      <w:pPr>
        <w:pStyle w:val="ListNumber"/>
        <w:ind w:left="360" w:hanging="360"/>
      </w:pPr>
      <w:r>
        <w:rPr>
          <w:rFonts w:ascii="Calibri" w:hAnsi="Calibri"/>
          <w:b/>
          <w:color w:val="525866"/>
          <w:sz w:val="22"/>
        </w:rPr>
        <w:t xml:space="preserve">Power and land — any new constraints or accelerations? </w:t>
      </w:r>
      <w:r>
        <w:rPr>
          <w:rFonts w:ascii="Calibri" w:hAnsi="Calibri"/>
          <w:color w:val="525866"/>
          <w:sz w:val="22"/>
        </w:rPr>
        <w:t>Management stated at Nareit that capacity and financing constraints are ‘solved’ with 3 GW of land under control. Has anything changed in the power procurement environment, particularly in Europe or APAC?</w:t>
      </w:r>
    </w:p>
    <w:p>
      <w:pPr>
        <w:pStyle w:val="ListNumber"/>
        <w:ind w:left="360" w:hanging="360"/>
      </w:pPr>
      <w:r>
        <w:rPr>
          <w:rFonts w:ascii="Calibri" w:hAnsi="Calibri"/>
          <w:b/>
          <w:color w:val="525866"/>
          <w:sz w:val="22"/>
        </w:rPr>
        <w:t xml:space="preserve">xScale pipeline beyond Hampton — what is next? </w:t>
      </w:r>
      <w:r>
        <w:rPr>
          <w:rFonts w:ascii="Calibri" w:hAnsi="Calibri"/>
          <w:color w:val="525866"/>
          <w:sz w:val="22"/>
        </w:rPr>
        <w:t>With 6 xScale projects underway across 32 markets, what is the pipeline of additional large-footprint deals, and how is the xScale-to-retail funnel evolving?</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