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ERIE (Erie Indemnity Company) before writing the preview. Let me gather recent earnings, filings, news, and stock data.I'll read the most recent earnings materials (Q1 2026 release + call) and the Q1 2026 10-Q MD&amp;A, plus get stock price data.Let me get the Q2 2025 comparison quarter results and recent stock price + news.There was a sharp move on 2026-07-15 (down ~12%) and a recovery since. Let me investigate the news and grab the Q2 2025 call for combined ratio context.The stock has fallen dramatically over 18 months (from ~</w:t>
      </w:r>
      <m:oMath>
        <m:r>
          <m:t>410</m:t>
        </m:r>
        <m:r>
          <m:t>t</m:t>
        </m:r>
        <m:r>
          <m:t>o</m:t>
        </m:r>
        <m:r>
          <m:t> </m:t>
        </m:r>
      </m:oMath>
      <w:r>
        <w:t xml:space="preserve">245) with a sharp ~12% single-day drop on 2026-07-15. Let me investigate that and check analyst/valuation context.I now have a comprehensive picture. Let me write the preview.</w:t>
      </w:r>
    </w:p>
    <w:bookmarkStart w:id="17" w:name="X4f70443a45cbe2f929289ec26b5e313148b90c1"/>
    <w:p>
      <w:pPr>
        <w:pStyle w:val="Heading1"/>
      </w:pPr>
      <w:r>
        <w:t xml:space="preserve">Erie Indemnity (ERIE) — Q2 2026 Earnings Preview</w:t>
      </w:r>
    </w:p>
    <w:p>
      <w:pPr>
        <w:pStyle w:val="FirstParagraph"/>
      </w:pPr>
      <w:r>
        <w:rPr>
          <w:b/>
          <w:bCs/>
        </w:rPr>
        <w:t xml:space="preserve">Report:</w:t>
      </w:r>
      <w:r>
        <w:t xml:space="preserve"> </w:t>
      </w:r>
      <w:r>
        <w:t xml:space="preserve">After close July 29, 2026 · Pre-recorded call July 30, 2026 (10:00 AM ET) · Fiscal period 2026Q2</w:t>
      </w:r>
    </w:p>
    <w:p>
      <w:r>
        <w:pict>
          <v:rect style="width:0;height:1.5pt" o:hralign="center" o:hrstd="t" o:hr="t"/>
        </w:pict>
      </w:r>
    </w:p>
    <w:bookmarkStart w:id="9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ERIE goes into Q2 with a stock that has been cut by roughly a third over the past year (from ~</w:t>
      </w:r>
      <m:oMath>
        <m:r>
          <m:t>367</m:t>
        </m:r>
        <m:r>
          <m:t>l</m:t>
        </m:r>
        <m:r>
          <m:t>a</m:t>
        </m:r>
        <m:r>
          <m:t>s</m:t>
        </m:r>
        <m:r>
          <m:t>t</m:t>
        </m:r>
        <m:r>
          <m:t>J</m:t>
        </m:r>
        <m:r>
          <m:t>u</m:t>
        </m:r>
        <m:r>
          <m:t>l</m:t>
        </m:r>
        <m:r>
          <m:t>y</m:t>
        </m:r>
        <m:r>
          <m:t>t</m:t>
        </m:r>
        <m:r>
          <m:t>o</m:t>
        </m:r>
        <m:r>
          <m:t> </m:t>
        </m:r>
      </m:oMath>
      <w:r>
        <w:t xml:space="preserve">246 today, and a 52-week low of $204.63). The debate is no longer about whether the Exchange's underwriting is healing — Q1 showed it is — but about</w:t>
      </w:r>
      <w:r>
        <w:t xml:space="preserve"> </w:t>
      </w:r>
      <w:r>
        <w:rPr>
          <w:b/>
          <w:bCs/>
        </w:rPr>
        <w:t xml:space="preserve">whether decelerating premium growth permanently caps the management fee engine that drives Indemnity's earnings.</w:t>
      </w:r>
      <w:r>
        <w:t xml:space="preserve"> </w:t>
      </w:r>
      <w:r>
        <w:t xml:space="preserve">This print is the first real test of that thesis during the seasonally heavy spring-catastrophe quarter.</w:t>
      </w:r>
    </w:p>
    <w:p>
      <w:r>
        <w:pict>
          <v:rect style="width:0;height:1.5pt" o:hralign="center" o:hrstd="t" o:hr="t"/>
        </w:pict>
      </w:r>
    </w:p>
    <w:bookmarkEnd w:id="9"/>
    <w:bookmarkStart w:id="10" w:name="Xd09a360388779b933ef8b9cd58dffa96e56861e"/>
    <w:p>
      <w:pPr>
        <w:pStyle w:val="Heading2"/>
      </w:pPr>
      <w:r>
        <w:t xml:space="preserve">How to think about ERIE (the model that matters)</w:t>
      </w:r>
    </w:p>
    <w:p>
      <w:pPr>
        <w:pStyle w:val="FirstParagraph"/>
      </w:pPr>
      <w:r>
        <w:t xml:space="preserve">Erie Indemnity is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an insurance risk-taker. It is the attorney-in-fact/management company for the</w:t>
      </w:r>
      <w:r>
        <w:t xml:space="preserve"> </w:t>
      </w:r>
      <w:r>
        <w:rPr>
          <w:b/>
          <w:bCs/>
        </w:rPr>
        <w:t xml:space="preserve">Erie Insurance Exchange</w:t>
      </w:r>
      <w:r>
        <w:t xml:space="preserve"> </w:t>
      </w:r>
      <w:r>
        <w:t xml:space="preserve">(a reciprocal it does not consolidate). Indemnity earns a</w:t>
      </w:r>
      <w:r>
        <w:t xml:space="preserve"> </w:t>
      </w:r>
      <w:r>
        <w:rPr>
          <w:b/>
          <w:bCs/>
        </w:rPr>
        <w:t xml:space="preserve">management fee — capped at 25% — on the Exchange's direct + affiliated assumed written premium (DWP)</w:t>
      </w:r>
      <w:r>
        <w:t xml:space="preserve">, plus cost-reimbursed administrative services.</w:t>
      </w:r>
    </w:p>
    <w:p>
      <w:pPr>
        <w:pStyle w:val="BodyText"/>
      </w:pPr>
      <w:r>
        <w:t xml:space="preserve">The practical implications for this quarter: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Indemnity's revenue growth ≈ Exchange DWP growth.</w:t>
      </w:r>
      <w:r>
        <w:t xml:space="preserve"> </w:t>
      </w:r>
      <w:r>
        <w:t xml:space="preserve">So the single most important number is not ERIE's own P&amp;L line — it's the</w:t>
      </w:r>
      <w:r>
        <w:t xml:space="preserve"> </w:t>
      </w:r>
      <w:r>
        <w:rPr>
          <w:b/>
          <w:bCs/>
        </w:rPr>
        <w:t xml:space="preserve">Exchange's DWP growth rate and its drivers (rate vs. policies-in-force).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ERIE's own margin</w:t>
      </w:r>
      <w:r>
        <w:t xml:space="preserve"> </w:t>
      </w:r>
      <w:r>
        <w:t xml:space="preserve">is a function of the fee rate minus its cost of operations (commissions + non-commission expense). Commissions are the swing factor.</w:t>
      </w:r>
    </w:p>
    <w:p>
      <w:pPr>
        <w:pStyle w:val="Compact"/>
        <w:numPr>
          <w:ilvl w:val="0"/>
          <w:numId w:val="1001"/>
        </w:numPr>
      </w:pPr>
      <w:r>
        <w:t xml:space="preserve">The Exchange's</w:t>
      </w:r>
      <w:r>
        <w:t xml:space="preserve"> </w:t>
      </w:r>
      <w:r>
        <w:rPr>
          <w:b/>
          <w:bCs/>
        </w:rPr>
        <w:t xml:space="preserve">combined ratio and policyholder surplus</w:t>
      </w:r>
      <w:r>
        <w:t xml:space="preserve"> </w:t>
      </w:r>
      <w:r>
        <w:t xml:space="preserve">are the leading indicators of ERIE's future growth and of agent-incentive commission expense.</w:t>
      </w:r>
    </w:p>
    <w:p>
      <w:r>
        <w:pict>
          <v:rect style="width:0;height:1.5pt" o:hralign="center" o:hrstd="t" o:hr="t"/>
        </w:pict>
      </w:r>
    </w:p>
    <w:bookmarkEnd w:id="10"/>
    <w:bookmarkStart w:id="11" w:name="X2118c7bf5ca75893490b19466510b576729d5f0"/>
    <w:p>
      <w:pPr>
        <w:pStyle w:val="Heading2"/>
      </w:pPr>
      <w:r>
        <w:t xml:space="preserve">What Q1 2026 told us (the trajectory into Q2)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Growth is decelerating hard.</w:t>
      </w:r>
      <w:r>
        <w:t xml:space="preserve"> </w:t>
      </w:r>
      <w:r>
        <w:t xml:space="preserve">Exchange DWP grew just</w:t>
      </w:r>
      <w:r>
        <w:t xml:space="preserve"> </w:t>
      </w:r>
      <w:r>
        <w:rPr>
          <w:b/>
          <w:bCs/>
        </w:rPr>
        <w:t xml:space="preserve">3.6% in Q1'26 vs. 13.9% in Q1'25.</w:t>
      </w:r>
      <w:r>
        <w:t xml:space="preserve"> </w:t>
      </w:r>
      <w:r>
        <w:t xml:space="preserve">Management explicitly said pricing has "reached more adequate levels," which erodes ERIE's competitive edge on price.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underwriting turn is real.</w:t>
      </w:r>
      <w:r>
        <w:t xml:space="preserve"> </w:t>
      </w:r>
      <w:r>
        <w:t xml:space="preserve">Exchange combined ratio improved to</w:t>
      </w:r>
      <w:r>
        <w:t xml:space="preserve"> </w:t>
      </w:r>
      <w:r>
        <w:rPr>
          <w:b/>
          <w:bCs/>
        </w:rPr>
        <w:t xml:space="preserve">99.4% (Q1'26) from 108.1% (Q1'25)</w:t>
      </w:r>
      <w:r>
        <w:t xml:space="preserve"> </w:t>
      </w:r>
      <w:r>
        <w:t xml:space="preserve">— ~7 points from lower catastrophes plus ~3 points of non-cat/rate adequacy. Surplus held at</w:t>
      </w:r>
      <w:r>
        <w:t xml:space="preserve"> </w:t>
      </w:r>
      <w:r>
        <w:rPr>
          <w:b/>
          <w:bCs/>
        </w:rPr>
        <w:t xml:space="preserve">$10.1B.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But the growth cost:</w:t>
      </w:r>
      <w:r>
        <w:t xml:space="preserve"> </w:t>
      </w:r>
      <w:r>
        <w:t xml:space="preserve">policies-in-force</w:t>
      </w:r>
      <w:r>
        <w:t xml:space="preserve"> </w:t>
      </w:r>
      <w:r>
        <w:rPr>
          <w:b/>
          <w:bCs/>
        </w:rPr>
        <w:t xml:space="preserve">fell 1.7% YoY</w:t>
      </w:r>
      <w:r>
        <w:t xml:space="preserve">, retention slipped to</w:t>
      </w:r>
      <w:r>
        <w:t xml:space="preserve"> </w:t>
      </w:r>
      <w:r>
        <w:rPr>
          <w:b/>
          <w:bCs/>
        </w:rPr>
        <w:t xml:space="preserve">88%</w:t>
      </w:r>
      <w:r>
        <w:t xml:space="preserve"> </w:t>
      </w:r>
      <w:r>
        <w:t xml:space="preserve">(from ~89.7% a year earlier), while</w:t>
      </w:r>
      <w:r>
        <w:t xml:space="preserve"> </w:t>
      </w:r>
      <w:r>
        <w:rPr>
          <w:b/>
          <w:bCs/>
        </w:rPr>
        <w:t xml:space="preserve">average premium per policy rose 8.1%.</w:t>
      </w:r>
      <w:r>
        <w:t xml:space="preserve"> </w:t>
      </w:r>
      <w:r>
        <w:t xml:space="preserve">Translation: rate is masking unit shrinkage.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Indemnity results:</w:t>
      </w:r>
      <w:r>
        <w:t xml:space="preserve"> </w:t>
      </w:r>
      <w:r>
        <w:t xml:space="preserve">net income</w:t>
      </w:r>
      <w:r>
        <w:t xml:space="preserve"> </w:t>
      </w:r>
      <m:oMath>
        <m:r>
          <m:t>150.5</m:t>
        </m:r>
        <m:r>
          <m:t>M</m:t>
        </m:r>
        <m:r>
          <m:rPr>
            <m:sty m:val="p"/>
          </m:rPr>
          <m:t>/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2.88 diluted EPS** (vs. $2.65), operating income +10.2%. Management fee +4.2%; commissions +6.4% (agent incentive comp rising</w:t>
      </w:r>
      <w:r>
        <w:t xml:space="preserve"> </w:t>
      </w:r>
      <w:r>
        <w:rPr>
          <w:b/>
          <w:bCs/>
        </w:rPr>
        <w:t xml:space="preserve">because</w:t>
      </w:r>
      <w:r>
        <w:t xml:space="preserve"> </w:t>
      </w:r>
      <w:r>
        <w:t xml:space="preserve">underwriting improved); non-commission expense</w:t>
      </w:r>
      <w:r>
        <w:t xml:space="preserve"> </w:t>
      </w:r>
      <w:r>
        <w:rPr>
          <w:b/>
          <w:bCs/>
        </w:rPr>
        <w:t xml:space="preserve">down 5.6%</w:t>
      </w:r>
      <w:r>
        <w:t xml:space="preserve"> </w:t>
      </w:r>
      <w:r>
        <w:t xml:space="preserve">on lower professional fees.</w:t>
      </w:r>
    </w:p>
    <w:p>
      <w:r>
        <w:pict>
          <v:rect style="width:0;height:1.5pt" o:hralign="center" o:hrstd="t" o:hr="t"/>
        </w:pict>
      </w:r>
    </w:p>
    <w:bookmarkEnd w:id="11"/>
    <w:bookmarkStart w:id="12" w:name="what-im-watching-in-the-q2-print"/>
    <w:p>
      <w:pPr>
        <w:pStyle w:val="Heading2"/>
      </w:pPr>
      <w:r>
        <w:t xml:space="preserve">What I'm watching in the Q2 print</w:t>
      </w:r>
    </w:p>
    <w:p>
      <w:pPr>
        <w:pStyle w:val="FirstParagraph"/>
      </w:pPr>
      <w:r>
        <w:rPr>
          <w:b/>
          <w:bCs/>
        </w:rPr>
        <w:t xml:space="preserve">1. Exchange DWP growth — the whole ballgame.</w:t>
      </w:r>
      <w:r>
        <w:t xml:space="preserve"> </w:t>
      </w:r>
      <w:r>
        <w:t xml:space="preserve">Q1 was 3.6%. If growth slides toward ~2–3% (or lower) with continued PIF declines, the market will read management-fee revenue as structurally capped. A year ago, Q2'25 DWP grew</w:t>
      </w:r>
      <w:r>
        <w:t xml:space="preserve"> </w:t>
      </w:r>
      <w:r>
        <w:rPr>
          <w:b/>
          <w:bCs/>
        </w:rPr>
        <w:t xml:space="preserve">9.2%</w:t>
      </w:r>
      <w:r>
        <w:t xml:space="preserve">, so the YoY comparison is getting much tougher — expect a sharp step-down in the reported growth rate.</w:t>
      </w:r>
    </w:p>
    <w:p>
      <w:pPr>
        <w:pStyle w:val="BodyText"/>
      </w:pPr>
      <w:r>
        <w:rPr>
          <w:b/>
          <w:bCs/>
        </w:rPr>
        <w:t xml:space="preserve">2. Policies-in-force &amp; retention — the quality of that growth.</w:t>
      </w:r>
      <w:r>
        <w:t xml:space="preserve"> </w:t>
      </w:r>
      <w:r>
        <w:t xml:space="preserve">PIF was already negative (-1.7%) and retention at 88% in Q1. Any further deterioration signals the rate-driven story is running out of road and that competitors are taking share. This is the metric bears will fixate on.</w:t>
      </w:r>
    </w:p>
    <w:p>
      <w:pPr>
        <w:pStyle w:val="BodyText"/>
      </w:pPr>
      <w:r>
        <w:rPr>
          <w:b/>
          <w:bCs/>
        </w:rPr>
        <w:t xml:space="preserve">3. Combined ratio in the seasonally worst quarter.</w:t>
      </w:r>
      <w:r>
        <w:t xml:space="preserve"> </w:t>
      </w:r>
      <w:r>
        <w:t xml:space="preserve">Q2 is spring storm season. Q2'25 combined ratio was an ugly</w:t>
      </w:r>
      <w:r>
        <w:t xml:space="preserve"> </w:t>
      </w:r>
      <w:r>
        <w:rPr>
          <w:b/>
          <w:bCs/>
        </w:rPr>
        <w:t xml:space="preserve">116.9% (20.7 pts of cat)</w:t>
      </w:r>
      <w:r>
        <w:t xml:space="preserve"> </w:t>
      </w:r>
      <w:r>
        <w:t xml:space="preserve">— inflated by the costliest weather event in company history in March 2025. Q2'26 should show large YoY improvement</w:t>
      </w:r>
      <w:r>
        <w:t xml:space="preserve"> </w:t>
      </w:r>
      <w:r>
        <w:rPr>
          <w:i/>
          <w:iCs/>
        </w:rPr>
        <w:t xml:space="preserve">if</w:t>
      </w:r>
      <w:r>
        <w:t xml:space="preserve"> </w:t>
      </w:r>
      <w:r>
        <w:t xml:space="preserve">weather normalizes, extending the "turning the corner" narrative. Watch the</w:t>
      </w:r>
      <w:r>
        <w:t xml:space="preserve"> </w:t>
      </w:r>
      <w:r>
        <w:rPr>
          <w:b/>
          <w:bCs/>
        </w:rPr>
        <w:t xml:space="preserve">cat load</w:t>
      </w:r>
      <w:r>
        <w:t xml:space="preserve"> </w:t>
      </w:r>
      <w:r>
        <w:t xml:space="preserve">specifically.</w:t>
      </w:r>
    </w:p>
    <w:p>
      <w:pPr>
        <w:pStyle w:val="BodyText"/>
      </w:pPr>
      <w:r>
        <w:rPr>
          <w:b/>
          <w:bCs/>
        </w:rPr>
        <w:t xml:space="preserve">4. Commission expense / agent incentive comp.</w:t>
      </w:r>
      <w:r>
        <w:t xml:space="preserve"> </w:t>
      </w:r>
      <w:r>
        <w:t xml:space="preserve">This is the counterintuitive one:</w:t>
      </w:r>
      <w:r>
        <w:t xml:space="preserve"> </w:t>
      </w:r>
      <w:r>
        <w:rPr>
          <w:b/>
          <w:bCs/>
        </w:rPr>
        <w:t xml:space="preserve">better Exchange underwriting = higher agent incentive payouts = higher ERIE expense.</w:t>
      </w:r>
      <w:r>
        <w:t xml:space="preserve"> </w:t>
      </w:r>
      <w:r>
        <w:t xml:space="preserve">Q1 commissions rose 6.4% partly for this reason. Strong underwriting is good for the long-term story but a near-term margin headwind for Indemnity.</w:t>
      </w:r>
    </w:p>
    <w:p>
      <w:pPr>
        <w:pStyle w:val="BodyText"/>
      </w:pPr>
      <w:r>
        <w:rPr>
          <w:b/>
          <w:bCs/>
        </w:rPr>
        <w:t xml:space="preserve">5. Investment income.</w:t>
      </w:r>
      <w:r>
        <w:t xml:space="preserve"> </w:t>
      </w:r>
      <w:r>
        <w:t xml:space="preserve">A steady, growing tailwind — Q1 net investment income was $23.6M on higher yields and balances. Low-drama but incrementally positive.</w:t>
      </w:r>
    </w:p>
    <w:p>
      <w:pPr>
        <w:pStyle w:val="BodyText"/>
      </w:pPr>
      <w:r>
        <w:rPr>
          <w:b/>
          <w:bCs/>
        </w:rPr>
        <w:t xml:space="preserve">6. Expense discipline.</w:t>
      </w:r>
      <w:r>
        <w:t xml:space="preserve"> </w:t>
      </w:r>
      <w:r>
        <w:t xml:space="preserve">Non-commission expense fell in Q1 (lower professional/technology-project fees). Watch whether that's sustainable given ongoing tech-modernization and AI spend.</w:t>
      </w:r>
    </w:p>
    <w:p>
      <w:r>
        <w:pict>
          <v:rect style="width:0;height:1.5pt" o:hralign="center" o:hrstd="t" o:hr="t"/>
        </w:pict>
      </w:r>
    </w:p>
    <w:bookmarkEnd w:id="12"/>
    <w:bookmarkStart w:id="13" w:name="X685ccb5fa42d02ba8a893d7eb18fc39e0815177"/>
    <w:p>
      <w:pPr>
        <w:pStyle w:val="Heading2"/>
      </w:pPr>
      <w:r>
        <w:t xml:space="preserve">Idiosyncratic items that could move the stock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CFO transition:</w:t>
      </w:r>
      <w:r>
        <w:t xml:space="preserve"> </w:t>
      </w:r>
      <w:r>
        <w:t xml:space="preserve">EVP &amp; CFO</w:t>
      </w:r>
      <w:r>
        <w:t xml:space="preserve"> </w:t>
      </w:r>
      <w:r>
        <w:rPr>
          <w:b/>
          <w:bCs/>
        </w:rPr>
        <w:t xml:space="preserve">Julie Pelkowski announced she will retire at the end of 2026.</w:t>
      </w:r>
      <w:r>
        <w:t xml:space="preserve"> </w:t>
      </w:r>
      <w:r>
        <w:t xml:space="preserve">Expect succession questions and continuity assurances; a management-fee-rate philosophy comment from a new CFO is a latent risk/opportunity.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Board/leadership change:</w:t>
      </w:r>
      <w:r>
        <w:t xml:space="preserve"> </w:t>
      </w:r>
      <w:r>
        <w:t xml:space="preserve">Tom Hagen stepped down as Chairman after 20+ years;</w:t>
      </w:r>
      <w:r>
        <w:t xml:space="preserve"> </w:t>
      </w:r>
      <w:r>
        <w:rPr>
          <w:b/>
          <w:bCs/>
        </w:rPr>
        <w:t xml:space="preserve">Jonathan Hirt Hagen</w:t>
      </w:r>
      <w:r>
        <w:t xml:space="preserve"> </w:t>
      </w:r>
      <w:r>
        <w:t xml:space="preserve">(family/founder lineage) elected Chairman in April 2026 — governance continuity, but worth noting given the Hagen family's control of Class B/voting stock.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Unexplained July 15 sell-off:</w:t>
      </w:r>
      <w:r>
        <w:t xml:space="preserve"> </w:t>
      </w:r>
      <w:r>
        <w:t xml:space="preserve">shares dropped ~8% intraday with "no clear catalyst identified" per market commentary — a sign of thin liquidity, jittery sentiment, and a market primed to overreact to this print in either direction.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Cyber comparison base:</w:t>
      </w:r>
      <w:r>
        <w:t xml:space="preserve"> </w:t>
      </w:r>
      <w:r>
        <w:t xml:space="preserve">the year-ago quarter (Q2'25) included the June 7, 2025 cyber incident/network outage; management said no material financial impact, but it's a clean-comp reminder.</w:t>
      </w:r>
    </w:p>
    <w:p>
      <w:r>
        <w:pict>
          <v:rect style="width:0;height:1.5pt" o:hralign="center" o:hrstd="t" o:hr="t"/>
        </w:pict>
      </w:r>
    </w:p>
    <w:bookmarkEnd w:id="13"/>
    <w:bookmarkStart w:id="14" w:name="X5301d577a7bb918807591872edfa41993d6bc3a"/>
    <w:p>
      <w:pPr>
        <w:pStyle w:val="Heading2"/>
      </w:pPr>
      <w:r>
        <w:t xml:space="preserve">Growth initiatives (the bull's bridge back to premium growth)</w:t>
      </w:r>
    </w:p>
    <w:p>
      <w:pPr>
        <w:pStyle w:val="FirstParagraph"/>
      </w:pPr>
      <w:r>
        <w:t xml:space="preserve">Management's answer to the growth problem is product and distribution modernization:</w:t>
      </w:r>
      <w:r>
        <w:t xml:space="preserve"> </w:t>
      </w:r>
      <w:r>
        <w:rPr>
          <w:b/>
          <w:bCs/>
        </w:rPr>
        <w:t xml:space="preserve">Erie Secure Auto</w:t>
      </w:r>
      <w:r>
        <w:t xml:space="preserve"> </w:t>
      </w:r>
      <w:r>
        <w:t xml:space="preserve">(piloted in Ohio, expanding to VA/WV and four more states),</w:t>
      </w:r>
      <w:r>
        <w:t xml:space="preserve"> </w:t>
      </w:r>
      <w:r>
        <w:rPr>
          <w:b/>
          <w:bCs/>
        </w:rPr>
        <w:t xml:space="preserve">Business Auto 2.0</w:t>
      </w:r>
      <w:r>
        <w:t xml:space="preserve"> </w:t>
      </w:r>
      <w:r>
        <w:t xml:space="preserve">(nearly complete rollout, only NY left), a</w:t>
      </w:r>
      <w:r>
        <w:t xml:space="preserve"> </w:t>
      </w:r>
      <w:r>
        <w:rPr>
          <w:b/>
          <w:bCs/>
        </w:rPr>
        <w:t xml:space="preserve">new online quote platform</w:t>
      </w:r>
      <w:r>
        <w:t xml:space="preserve"> </w:t>
      </w:r>
      <w:r>
        <w:t xml:space="preserve">to feed agent leads, &gt;50% of systems migrated to modern platforms, and enterprise AI deployment in claims/subrogation. These are the levers that would need to re-accelerate PIF — but they are 2026–2027 stories, unlikely to show up materially in this quarter's numbers.</w:t>
      </w:r>
    </w:p>
    <w:p>
      <w:r>
        <w:pict>
          <v:rect style="width:0;height:1.5pt" o:hralign="center" o:hrstd="t" o:hr="t"/>
        </w:pict>
      </w:r>
    </w:p>
    <w:bookmarkEnd w:id="14"/>
    <w:bookmarkStart w:id="15" w:name="valuation--sentiment"/>
    <w:p>
      <w:pPr>
        <w:pStyle w:val="Heading2"/>
      </w:pPr>
      <w:r>
        <w:t xml:space="preserve">Valuation &amp; sentiment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Price:</w:t>
      </w:r>
      <w:r>
        <w:t xml:space="preserve"> </w:t>
      </w:r>
      <w:r>
        <w:t xml:space="preserve">~</w:t>
      </w:r>
      <m:oMath>
        <m:r>
          <m:t>246</m:t>
        </m:r>
        <m:r>
          <m:rPr>
            <m:sty m:val="p"/>
          </m:rPr>
          <m:t>(</m:t>
        </m:r>
        <m:r>
          <m:t>7</m:t>
        </m:r>
        <m:r>
          <m:rPr>
            <m:sty m:val="p"/>
          </m:rPr>
          <m:t>/</m:t>
        </m:r>
        <m:r>
          <m:t>29</m:t>
        </m:r>
        <m:r>
          <m:rPr>
            <m:sty m:val="p"/>
          </m:rPr>
          <m:t>/</m:t>
        </m:r>
        <m:r>
          <m:t>26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u</m:t>
        </m:r>
        <m:r>
          <m:t>p</m:t>
        </m:r>
        <m:r>
          <m:t>o</m:t>
        </m:r>
        <m:r>
          <m:t>f</m:t>
        </m:r>
        <m:r>
          <m:t>f</m:t>
        </m:r>
        <m:r>
          <m:t>t</m:t>
        </m:r>
        <m:r>
          <m:t>h</m:t>
        </m:r>
        <m:r>
          <m:t>e</m:t>
        </m:r>
        <m:r>
          <m:t> </m:t>
        </m:r>
      </m:oMath>
      <w:r>
        <w:t xml:space="preserve">204 low but still down ~33% YoY and roughly -14% YTD.</w:t>
      </w:r>
    </w:p>
    <w:p>
      <w:pPr>
        <w:pStyle w:val="Compact"/>
        <w:numPr>
          <w:ilvl w:val="0"/>
          <w:numId w:val="1004"/>
        </w:numPr>
      </w:pPr>
      <w:r>
        <w:t xml:space="preserve">The de-rating reflects the market pricing out ERIE's historic growth premium. Third-party commentary pegs it around a low-20s P/E —</w:t>
      </w:r>
      <w:r>
        <w:t xml:space="preserve"> </w:t>
      </w:r>
      <w:r>
        <w:rPr>
          <w:b/>
          <w:bCs/>
        </w:rPr>
        <w:t xml:space="preserve">below its five-year historical premium</w:t>
      </w:r>
      <w:r>
        <w:t xml:space="preserve"> </w:t>
      </w:r>
      <w:r>
        <w:t xml:space="preserve">but still rich versus P&amp;C peers, reflecting the tension between a capital-light, dividend-paying, ~0.3-beta compounder and a company with</w:t>
      </w:r>
      <w:r>
        <w:t xml:space="preserve"> </w:t>
      </w:r>
      <w:r>
        <w:rPr>
          <w:b/>
          <w:bCs/>
        </w:rPr>
        <w:t xml:space="preserve">total dependence on one entity (the Exchange), a capped fee, and stalling unit growth.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Dividend</w:t>
      </w:r>
      <w:r>
        <w:t xml:space="preserve"> </w:t>
      </w:r>
      <w:r>
        <w:t xml:space="preserve">remains a support: ~</w:t>
      </w:r>
      <m:oMath>
        <m:r>
          <m:t>68</m:t>
        </m:r>
        <m:r>
          <m:t>M</m:t>
        </m:r>
        <m:r>
          <m:t>p</m:t>
        </m:r>
        <m:r>
          <m:t>a</m:t>
        </m:r>
        <m:r>
          <m:t>i</m:t>
        </m:r>
        <m:r>
          <m:t>d</m:t>
        </m:r>
        <m:r>
          <m:t>i</m:t>
        </m:r>
        <m:r>
          <m:t>n</m:t>
        </m:r>
        <m:r>
          <m:t>Q</m:t>
        </m:r>
        <m:sSup>
          <m:e>
            <m:r>
              <m:t>1</m:t>
            </m:r>
          </m:e>
          <m:sup>
            <m:r>
              <m:rPr>
                <m:sty m:val="p"/>
              </m:rPr>
              <m:t>′</m:t>
            </m:r>
          </m:sup>
        </m:sSup>
        <m:r>
          <m:t>26</m:t>
        </m:r>
        <m:r>
          <m:rPr>
            <m:sty m:val="p"/>
          </m:rPr>
          <m:t>;</m:t>
        </m:r>
        <m:r>
          <m:t>C</m:t>
        </m:r>
        <m:r>
          <m:t>l</m:t>
        </m:r>
        <m:r>
          <m:t>a</m:t>
        </m:r>
        <m:r>
          <m:t>s</m:t>
        </m:r>
        <m:r>
          <m:t>s</m:t>
        </m:r>
        <m:r>
          <m:t>A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l</m:t>
        </m:r>
        <m:r>
          <m:t>y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t>w</m:t>
        </m:r>
        <m:r>
          <m:t>a</m:t>
        </m:r>
        <m:r>
          <m:t>s</m:t>
        </m:r>
        <m:r>
          <m:t>r</m:t>
        </m:r>
        <m:r>
          <m:t>a</m:t>
        </m:r>
        <m:r>
          <m:t>i</m:t>
        </m:r>
        <m:r>
          <m:t>s</m:t>
        </m:r>
        <m:r>
          <m:t>e</m:t>
        </m:r>
        <m:r>
          <m:t>d</m:t>
        </m:r>
        <m:r>
          <m:t>t</m:t>
        </m:r>
        <m:r>
          <m:t>o</m:t>
        </m:r>
        <m:r>
          <m:t> </m:t>
        </m:r>
      </m:oMath>
      <w:r>
        <w:t xml:space="preserve">1.365.</w:t>
      </w:r>
    </w:p>
    <w:p>
      <w:r>
        <w:pict>
          <v:rect style="width:0;height:1.5pt" o:hralign="center" o:hrstd="t" o:hr="t"/>
        </w:pict>
      </w:r>
    </w:p>
    <w:bookmarkEnd w:id="15"/>
    <w:bookmarkStart w:id="16" w:name="bottom-line--scorecard"/>
    <w:p>
      <w:pPr>
        <w:pStyle w:val="Heading2"/>
      </w:pPr>
      <w:r>
        <w:t xml:space="preserve">Bottom line / scorecard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Signal</w:t>
            </w:r>
          </w:p>
        </w:tc>
        <w:tc>
          <w:tcPr/>
          <w:p>
            <w:pPr>
              <w:pStyle w:val="Compact"/>
            </w:pPr>
            <w:r>
              <w:t xml:space="preserve">Bullish if…</w:t>
            </w:r>
          </w:p>
        </w:tc>
        <w:tc>
          <w:tcPr/>
          <w:p>
            <w:pPr>
              <w:pStyle w:val="Compact"/>
            </w:pPr>
            <w:r>
              <w:t xml:space="preserve">Bearish if…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Exchange DWP growth</w:t>
            </w:r>
          </w:p>
        </w:tc>
        <w:tc>
          <w:tcPr/>
          <w:p>
            <w:pPr>
              <w:pStyle w:val="Compact"/>
            </w:pPr>
            <w:r>
              <w:t xml:space="preserve">Holds ≥ ~4%</w:t>
            </w:r>
          </w:p>
        </w:tc>
        <w:tc>
          <w:tcPr/>
          <w:p>
            <w:pPr>
              <w:pStyle w:val="Compact"/>
            </w:pPr>
            <w:r>
              <w:t xml:space="preserve">Slides toward/below ~2%, decelerating from Q1's 3.6%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Policies-in-force</w:t>
            </w:r>
          </w:p>
        </w:tc>
        <w:tc>
          <w:tcPr/>
          <w:p>
            <w:pPr>
              <w:pStyle w:val="Compact"/>
            </w:pPr>
            <w:r>
              <w:t xml:space="preserve">Stabilizes / turns less negative</w:t>
            </w:r>
          </w:p>
        </w:tc>
        <w:tc>
          <w:tcPr/>
          <w:p>
            <w:pPr>
              <w:pStyle w:val="Compact"/>
            </w:pPr>
            <w:r>
              <w:t xml:space="preserve">Decline worsens beyond -1.7%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Retention</w:t>
            </w:r>
          </w:p>
        </w:tc>
        <w:tc>
          <w:tcPr/>
          <w:p>
            <w:pPr>
              <w:pStyle w:val="Compact"/>
            </w:pPr>
            <w:r>
              <w:t xml:space="preserve">Rebounds toward ~89%+</w:t>
            </w:r>
          </w:p>
        </w:tc>
        <w:tc>
          <w:tcPr/>
          <w:p>
            <w:pPr>
              <w:pStyle w:val="Compact"/>
            </w:pPr>
            <w:r>
              <w:t xml:space="preserve">Slips further below 88%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combined ratio</w:t>
            </w:r>
          </w:p>
        </w:tc>
        <w:tc>
          <w:tcPr/>
          <w:p>
            <w:pPr>
              <w:pStyle w:val="Compact"/>
            </w:pPr>
            <w:r>
              <w:t xml:space="preserve">Big YoY improvement vs. 116.9%, normalized cat</w:t>
            </w:r>
          </w:p>
        </w:tc>
        <w:tc>
          <w:tcPr/>
          <w:p>
            <w:pPr>
              <w:pStyle w:val="Compact"/>
            </w:pPr>
            <w:r>
              <w:t xml:space="preserve">Elevated cat load again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Beats ~$3.34 (Q2'25) on fee growth + investment income</w:t>
            </w:r>
          </w:p>
        </w:tc>
        <w:tc>
          <w:tcPr/>
          <w:p>
            <w:pPr>
              <w:pStyle w:val="Compact"/>
            </w:pPr>
            <w:r>
              <w:t xml:space="preserve">Misses as commission/incentive comp outpaces fee growth</w:t>
            </w:r>
          </w:p>
        </w:tc>
      </w:tr>
    </w:tbl>
    <w:p>
      <w:pPr>
        <w:pStyle w:val="BodyText"/>
      </w:pPr>
      <w:r>
        <w:rPr>
          <w:b/>
          <w:bCs/>
        </w:rPr>
        <w:t xml:space="preserve">Net:</w:t>
      </w:r>
      <w:r>
        <w:t xml:space="preserve"> </w:t>
      </w:r>
      <w:r>
        <w:t xml:space="preserve">The underwriting recovery gives the bulls a story, and a battered, oversold stock with a defensive profile could bounce on any evidence that growth is stabilizing. But the structural question —</w:t>
      </w:r>
      <w:r>
        <w:t xml:space="preserve"> </w:t>
      </w:r>
      <w:r>
        <w:rPr>
          <w:i/>
          <w:iCs/>
        </w:rPr>
        <w:t xml:space="preserve">can a rate-driven top line survive now that rates are "adequate" and units are shrinking?</w:t>
      </w:r>
      <w:r>
        <w:t xml:space="preserve"> </w:t>
      </w:r>
      <w:r>
        <w:t xml:space="preserve">— won't be resolved favorably unless PIF and retention stop bleeding. That, plus the combined-ratio print and any color on the CFO transition, is what will set the tone for the stock into the back half of 2026.</w:t>
      </w:r>
    </w:p>
    <w:p>
      <w:pPr>
        <w:pStyle w:val="BodyText"/>
      </w:pPr>
      <w:r>
        <w:rPr>
          <w:i/>
          <w:iCs/>
        </w:rPr>
        <w:t xml:space="preserve">Note: I couldn't find published sell-side consensus estimates for the quarter in the available sources, so the "beat/miss" reference points above use the year-ago actuals ($3.34 diluted EPS, $199M operating income) rather than a formal consensus. Figures for the Exchange (a non-consolidated reciprocal) are operating metrics ERIE discloses, not ERIE's own GAAP results.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2026-07-29T19:47:11Z</dcterms:created>
  <dcterms:modified xsi:type="dcterms:W3CDTF">2026-07-29T19:47:11Z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