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4f70443a45cbe2f929289ec26b5e313148b90c1"/>
    <w:p>
      <w:pPr>
        <w:pStyle w:val="Heading1"/>
      </w:pPr>
      <w:r>
        <w:t xml:space="preserve">Erie Indemnity (ERIE) — Q2 2026 Earnings Preview</w:t>
      </w:r>
    </w:p>
    <w:p>
      <w:pPr>
        <w:pStyle w:val="FirstParagraph"/>
      </w:pPr>
      <w:r>
        <w:rPr>
          <w:b/>
          <w:bCs/>
        </w:rPr>
        <w:t xml:space="preserve">Report date:</w:t>
      </w:r>
      <w:r>
        <w:t xml:space="preserve"> </w:t>
      </w:r>
      <w:r>
        <w:t xml:space="preserve">After market close, Thursday, July 30, 2026 (pre-recorded webcast follows July 31 at 10:00 a.m. ET)</w:t>
      </w:r>
      <w:r>
        <w:t xml:space="preserve"> </w:t>
      </w:r>
      <w:r>
        <w:rPr>
          <w:b/>
          <w:bCs/>
        </w:rPr>
        <w:t xml:space="preserve">Consensus:</w:t>
      </w:r>
      <w:r>
        <w:t xml:space="preserve"> </w:t>
      </w:r>
      <w:r>
        <w:t xml:space="preserve">~$3.35 diluted EPS vs. $3.34 in Q2 2025 (essentially flat y/y)</w:t>
      </w:r>
    </w:p>
    <w:p>
      <w:r>
        <w:pict>
          <v:rect style="width:0;height:1.5pt" o:hralign="center" o:hrstd="t" o:hr="t"/>
        </w:pict>
      </w:r>
    </w:p>
    <w:bookmarkStart w:id="9" w:name="Xa07c6f4d36d887c8da8b1836787695a73efc513"/>
    <w:p>
      <w:pPr>
        <w:pStyle w:val="Heading2"/>
      </w:pPr>
      <w:r>
        <w:t xml:space="preserve">1. The Setup: A Volatile Stock Walking Into the Print</w:t>
      </w:r>
    </w:p>
    <w:p>
      <w:pPr>
        <w:pStyle w:val="FirstParagraph"/>
      </w:pPr>
      <w:r>
        <w:t xml:space="preserve">ERIE shares have had a brutal 2026. The stock is down roughly 36-40% over the trailing year and more than 20% year-to-date, badly lagging both the S&amp;P 500 and the financial sector (XLF). The ride has been rough even in the last few weeks: shares fell from the $247 area on July 14 to as low as $210 by mid-July, before rebounding back above $240 heading into the print. That kind of two-way volatility suggests the market is unusually uncertain about which direction this quarter breaks — toward the "profitability is turning the corner" narrative management has been building, or toward renewed catastrophe/expense pressure that peers have already flagged this earnings season.</w:t>
      </w:r>
    </w:p>
    <w:bookmarkEnd w:id="9"/>
    <w:bookmarkStart w:id="10" w:name="X63ca5fc8ed73eb5a0b0370e224b8f26581695c1"/>
    <w:p>
      <w:pPr>
        <w:pStyle w:val="Heading2"/>
      </w:pPr>
      <w:r>
        <w:t xml:space="preserve">2. Business Model Refresher</w:t>
      </w:r>
    </w:p>
    <w:p>
      <w:pPr>
        <w:pStyle w:val="FirstParagraph"/>
      </w:pPr>
      <w:r>
        <w:t xml:space="preserve">Erie Indemnity doesn't underwrite insurance itself — it's the management company that earns a fee (capped at 25% of premiums) for providing sales, underwriting, and administrative services to the Erie Insurance Exchange, a policyholder-owned reciprocal. That means ERIE's own P&amp;L is driven less by catastrophe losses directly and more by (a) growth in the Exchange's direct written premium (which drives management fee revenue) and (b) the spread between fee growth and ERIE's own cost growth (commissions, personnel, technology). However, the Exchange's underwriting health matters enormously as a leading indicator — combined ratio trends there flow through to agent incentive commissions and ultimately to Indemnity's margins.</w:t>
      </w:r>
    </w:p>
    <w:bookmarkEnd w:id="10"/>
    <w:bookmarkStart w:id="11" w:name="Xc6e4e658f1b9d61a96502e0cc0091d87f2ee61f"/>
    <w:p>
      <w:pPr>
        <w:pStyle w:val="Heading2"/>
      </w:pPr>
      <w:r>
        <w:t xml:space="preserve">3. Where Things Stood Last Quarter (Q1 2026)</w:t>
      </w:r>
    </w:p>
    <w:p>
      <w:pPr>
        <w:pStyle w:val="FirstParagraph"/>
      </w:pPr>
      <w:r>
        <w:t xml:space="preserve">Q1 2026 was read as a turning point after a rough 2025. 2025 was one of the more challenging periods the company faced in terms of profitability, marked by elevated weather activity, including the costliest weather event in the company's history last March and a complex market, but management said by the end of 2025 and now in the first quarter of 2026, they started to see a more balanced picture and early signs that they're beginning to turn a corner.</w:t>
      </w:r>
    </w:p>
    <w:p>
      <w:pPr>
        <w:pStyle w:val="BodyText"/>
      </w:pPr>
      <w:r>
        <w:t xml:space="preserve">The numbers backed that up on profitability, but flagged a real growth problem:</w:t>
      </w:r>
    </w:p>
    <w:p>
      <w:pPr>
        <w:pStyle w:val="Compact"/>
        <w:numPr>
          <w:ilvl w:val="0"/>
          <w:numId w:val="1001"/>
        </w:numPr>
      </w:pPr>
      <w:r>
        <w:rPr>
          <w:b/>
          <w:bCs/>
        </w:rPr>
        <w:t xml:space="preserve">Profitability:</w:t>
      </w:r>
      <w:r>
        <w:t xml:space="preserve"> </w:t>
      </w:r>
      <w:r>
        <w:t xml:space="preserve">The Exchange's combined ratio was 99.4% in the first quarter of 2026 compared to 108.1% in the first quarter of 2025, driven by non-catastrophe losses improving about 3 points compared to the prior year, reflective of stronger rate adequacy, and an almost 7-point improvement in catastrophe losses from the first quarter of 2025.</w:t>
      </w:r>
    </w:p>
    <w:p>
      <w:pPr>
        <w:pStyle w:val="Compact"/>
        <w:numPr>
          <w:ilvl w:val="0"/>
          <w:numId w:val="1001"/>
        </w:numPr>
      </w:pPr>
      <w:r>
        <w:rPr>
          <w:b/>
          <w:bCs/>
        </w:rPr>
        <w:t xml:space="preserve">Growth is decelerating fast:</w:t>
      </w:r>
      <w:r>
        <w:t xml:space="preserve"> </w:t>
      </w:r>
      <w:r>
        <w:t xml:space="preserve">Direct written premium grew 3.6% in the first quarter of 2026 compared to 13.9% in the first quarter of 2025. Average premium per policy grew 8.1% in the first quarter, but policies in force were down 1.7% from the prior year and retention declined to 88% — a direct consequence of the heavy rate increases pushed through in 2023-2024 finally catching up to demand.</w:t>
      </w:r>
    </w:p>
    <w:p>
      <w:pPr>
        <w:pStyle w:val="Compact"/>
        <w:numPr>
          <w:ilvl w:val="0"/>
          <w:numId w:val="1001"/>
        </w:numPr>
      </w:pPr>
      <w:r>
        <w:rPr>
          <w:b/>
          <w:bCs/>
        </w:rPr>
        <w:t xml:space="preserve">Indemnity results:</w:t>
      </w:r>
      <w:r>
        <w:t xml:space="preserve"> </w:t>
      </w:r>
      <w:r>
        <w:t xml:space="preserve">Net income was nearly $151 million, or $2.88 per diluted share, in the first quarter of 2026 compared to $138 million, or $2.65 per diluted share, in the first quarter of 2025, with commission expense, the largest cost of operations, increasing 6.4% to $465 million, driven largely by agent incentive compensation due to the underwriting profitability improvement as well as higher base commissions from premium growth.</w:t>
      </w:r>
    </w:p>
    <w:p>
      <w:pPr>
        <w:pStyle w:val="Compact"/>
        <w:numPr>
          <w:ilvl w:val="0"/>
          <w:numId w:val="1001"/>
        </w:numPr>
      </w:pPr>
      <w:r>
        <w:rPr>
          <w:b/>
          <w:bCs/>
        </w:rPr>
        <w:t xml:space="preserve">Surplus:</w:t>
      </w:r>
      <w:r>
        <w:t xml:space="preserve"> </w:t>
      </w:r>
      <w:r>
        <w:t xml:space="preserve">Policyholder surplus at the end of March was $10.1 billion, consistent with the December 2025 level, reflecting essentially breakeven underwriting and investment results.</w:t>
      </w:r>
    </w:p>
    <w:bookmarkEnd w:id="11"/>
    <w:bookmarkStart w:id="12" w:name="X9144d13dc2cd3acdd09cc399b853562a50db6f6"/>
    <w:p>
      <w:pPr>
        <w:pStyle w:val="Heading2"/>
      </w:pPr>
      <w:r>
        <w:t xml:space="preserve">4. The Comp: Why Q2 2025 Sets a Low (But Complicated) Bar</w:t>
      </w:r>
    </w:p>
    <w:p>
      <w:pPr>
        <w:pStyle w:val="FirstParagraph"/>
      </w:pPr>
      <w:r>
        <w:t xml:space="preserve">The year-ago quarter was messy, which matters for how Q2 2026 should be read. In Q2 2025, the Exchange's direct and assumed written premiums grew by nearly 9.2%... [with] catastrophic weather events contributing 20.7 points [to the combined ratio]... compared to 16.2 points in the same period of 2024, pushing the combined ratio to 116.9% in the second quarter of 2025 compared to 115.9% in the second quarter of 2024. On top of that, Erie was managing through an information security event... unauthorized network activity identified on June 7[, 2025] that forced a system shutdown, though the company said there is no evidence that any sensitive personal information, financial records or legally protected data was breached and that the incident did not materially affect its financials. Reported Q2 2025 results were net income of $175 million, or $3.34 per diluted share, compared to $164 million, or $3.13 per diluted share, in the second quarter of 2024.</w:t>
      </w:r>
    </w:p>
    <w:p>
      <w:pPr>
        <w:pStyle w:val="BodyText"/>
      </w:pPr>
      <w:r>
        <w:t xml:space="preserve">In theory, a normal weather quarter in 2026 should produce an easy comp against that 20.7-point catastrophe drag. Yet the Street's ~$3.35 consensus implies almost no EPS growth — a sign analysts expect the benefit from lower catastrophe losses to be offset by decelerating premium growth, rising commission/incentive expense, and cost inflation (pension, compensation).</w:t>
      </w:r>
    </w:p>
    <w:bookmarkEnd w:id="12"/>
    <w:bookmarkStart w:id="13" w:name="X4b599974b073bfa6b718e82ba277d6a52a631c1"/>
    <w:p>
      <w:pPr>
        <w:pStyle w:val="Heading2"/>
      </w:pPr>
      <w:r>
        <w:t xml:space="preserve">5. Industry Read-Throughs: Mixed Signals on Q2 Catastrophe Activity</w:t>
      </w:r>
    </w:p>
    <w:p>
      <w:pPr>
        <w:pStyle w:val="FirstParagraph"/>
      </w:pPr>
      <w:r>
        <w:t xml:space="preserve">This is the biggest swing factor into the print. Sellside P&amp;C previews have flagged that Q2 2026 featured meaningful convective storm activity across the Midwest and Central U.S., and early results from peers have been inconsistent:</w:t>
      </w:r>
    </w:p>
    <w:p>
      <w:pPr>
        <w:pStyle w:val="Compact"/>
        <w:numPr>
          <w:ilvl w:val="0"/>
          <w:numId w:val="1002"/>
        </w:numPr>
      </w:pPr>
      <w:r>
        <w:rPr>
          <w:b/>
          <w:bCs/>
        </w:rPr>
        <w:t xml:space="preserve">Cincinnati Financial (CINF)</w:t>
      </w:r>
      <w:r>
        <w:t xml:space="preserve">, a Midwest-heavy peer, reported Q2 2026 EPS of $1.43 versus $1.82 expected, with the miss driven by a</w:t>
      </w:r>
      <w:r>
        <w:t xml:space="preserve"> </w:t>
      </w:r>
      <w:r>
        <w:rPr>
          <w:b/>
          <w:bCs/>
        </w:rPr>
        <w:t xml:space="preserve">100.8% combined ratio</w:t>
      </w:r>
      <w:r>
        <w:t xml:space="preserve"> </w:t>
      </w:r>
      <w:r>
        <w:t xml:space="preserve">— about 300bps worse than modeled — attributed to catastrophe losses.</w:t>
      </w:r>
    </w:p>
    <w:p>
      <w:pPr>
        <w:pStyle w:val="Compact"/>
        <w:numPr>
          <w:ilvl w:val="0"/>
          <w:numId w:val="1002"/>
        </w:numPr>
      </w:pPr>
      <w:r>
        <w:rPr>
          <w:b/>
          <w:bCs/>
        </w:rPr>
        <w:t xml:space="preserve">The Hartford</w:t>
      </w:r>
      <w:r>
        <w:t xml:space="preserve">, by contrast, posted stronger results with its personal lines loss ratio improving year-over-year despite elevated tornado/wind/hail catastrophe charges.</w:t>
      </w:r>
    </w:p>
    <w:p>
      <w:pPr>
        <w:pStyle w:val="Compact"/>
        <w:numPr>
          <w:ilvl w:val="0"/>
          <w:numId w:val="1002"/>
        </w:numPr>
      </w:pPr>
      <w:r>
        <w:t xml:space="preserve">Industry-wide, severe convective storm losses topped roughly $22 billion by mid-June 2026 — a large number in absolute terms, but tracking</w:t>
      </w:r>
      <w:r>
        <w:t xml:space="preserve"> </w:t>
      </w:r>
      <w:r>
        <w:rPr>
          <w:b/>
          <w:bCs/>
        </w:rPr>
        <w:t xml:space="preserve">below</w:t>
      </w:r>
      <w:r>
        <w:t xml:space="preserve"> </w:t>
      </w:r>
      <w:r>
        <w:t xml:space="preserve">5- and 10-year historical averages according to catastrophe modelers.</w:t>
      </w:r>
    </w:p>
    <w:p>
      <w:pPr>
        <w:pStyle w:val="FirstParagraph"/>
      </w:pPr>
      <w:r>
        <w:t xml:space="preserve">Given Erie's footprint is concentrated in the Midwest and Mid-Atlantic (Ohio, Indiana, Illinois, Pennsylvania, Virginia, the Carolinas, etc.), the CINF read-through is a genuine risk investors should weigh against management's "turning the corner" narrative from Q1.</w:t>
      </w:r>
    </w:p>
    <w:bookmarkEnd w:id="13"/>
    <w:bookmarkStart w:id="14" w:name="X3184bd2d4f0f8b32c7c11799f331dcfc4bc37f4"/>
    <w:p>
      <w:pPr>
        <w:pStyle w:val="Heading2"/>
      </w:pPr>
      <w:r>
        <w:t xml:space="preserve">6. Company-Specific Overhangs</w:t>
      </w:r>
    </w:p>
    <w:p>
      <w:pPr>
        <w:pStyle w:val="Compact"/>
        <w:numPr>
          <w:ilvl w:val="0"/>
          <w:numId w:val="1003"/>
        </w:numPr>
      </w:pPr>
      <w:r>
        <w:rPr>
          <w:b/>
          <w:bCs/>
        </w:rPr>
        <w:t xml:space="preserve">CEO succession:</w:t>
      </w:r>
      <w:r>
        <w:t xml:space="preserve"> </w:t>
      </w:r>
      <w:r>
        <w:t xml:space="preserve">In February 2026, Erie announced that Timothy G. NeCastro, the Company's President and Chief Executive Officer, will retire on December 31, 2026, and the Board of Directors will initiate a search to identify a new President and Chief Executive Officer. NeCastro has led Erie since 2016. Investors should listen for any update on succession progress — a topic likely to draw more attention on every call until resolved.</w:t>
      </w:r>
    </w:p>
    <w:p>
      <w:pPr>
        <w:pStyle w:val="Compact"/>
        <w:numPr>
          <w:ilvl w:val="0"/>
          <w:numId w:val="1003"/>
        </w:numPr>
      </w:pPr>
      <w:r>
        <w:rPr>
          <w:b/>
          <w:bCs/>
        </w:rPr>
        <w:t xml:space="preserve">Board leadership change:</w:t>
      </w:r>
      <w:r>
        <w:t xml:space="preserve"> </w:t>
      </w:r>
      <w:r>
        <w:t xml:space="preserve">Longtime Chairman Tom Hagen stepped down in April 2026, with Jonathan Hirt Hagen — grandson of co-founder H.O. Hirt — elected as the new Chairman, continuing the founding family's governance role.</w:t>
      </w:r>
    </w:p>
    <w:p>
      <w:pPr>
        <w:pStyle w:val="Compact"/>
        <w:numPr>
          <w:ilvl w:val="0"/>
          <w:numId w:val="1003"/>
        </w:numPr>
      </w:pPr>
      <w:r>
        <w:rPr>
          <w:b/>
          <w:bCs/>
        </w:rPr>
        <w:t xml:space="preserve">Growth initiatives to watch:</w:t>
      </w:r>
      <w:r>
        <w:t xml:space="preserve"> </w:t>
      </w:r>
      <w:r>
        <w:t xml:space="preserve">Management is leaning on product/technology rollouts to arrest the PIF/retention slide — Erie Secure Auto expanding into Virginia and West Virginia after a successful Ohio pilot, with four more states planned this quarter, Business Auto 2.0 now rolled out everywhere except New York, and a new online quote platform launched in Ohio in February, expanding to Maryland, Pennsylvania, Virginia and West Virginia. Any early read on conversion/retention impact from these tools would be a positive datapoint.</w:t>
      </w:r>
    </w:p>
    <w:bookmarkEnd w:id="14"/>
    <w:bookmarkStart w:id="15" w:name="X8bef105fc0f19eaa68879f76e4ecd139ab36cdd"/>
    <w:p>
      <w:pPr>
        <w:pStyle w:val="Heading2"/>
      </w:pPr>
      <w:r>
        <w:t xml:space="preserve">7. What to Watch on the Call</w:t>
      </w:r>
    </w:p>
    <w:p>
      <w:pPr>
        <w:pStyle w:val="Compact"/>
        <w:numPr>
          <w:ilvl w:val="0"/>
          <w:numId w:val="1004"/>
        </w:numPr>
      </w:pPr>
      <w:r>
        <w:rPr>
          <w:b/>
          <w:bCs/>
        </w:rPr>
        <w:t xml:space="preserve">Exchange combined ratio and CAT contribution</w:t>
      </w:r>
      <w:r>
        <w:t xml:space="preserve"> </w:t>
      </w:r>
      <w:r>
        <w:t xml:space="preserve">— the single biggest swing factor; does the "turning the corner" story from Q1 continue, or does Midwest storm activity push the ratio back up (as it did at Cincinnati Financial)?</w:t>
      </w:r>
    </w:p>
    <w:p>
      <w:pPr>
        <w:pStyle w:val="Compact"/>
        <w:numPr>
          <w:ilvl w:val="0"/>
          <w:numId w:val="1004"/>
        </w:numPr>
      </w:pPr>
      <w:r>
        <w:rPr>
          <w:b/>
          <w:bCs/>
        </w:rPr>
        <w:t xml:space="preserve">Growth trends</w:t>
      </w:r>
      <w:r>
        <w:t xml:space="preserve"> </w:t>
      </w:r>
      <w:r>
        <w:t xml:space="preserve">— did direct written premium growth stabilize from Q1's 3.6%, or decelerate further? Any signs retention (88% in Q1) or policies-in-force (-1.7% in Q1) troughed?</w:t>
      </w:r>
    </w:p>
    <w:p>
      <w:pPr>
        <w:pStyle w:val="Compact"/>
        <w:numPr>
          <w:ilvl w:val="0"/>
          <w:numId w:val="1004"/>
        </w:numPr>
      </w:pPr>
      <w:r>
        <w:rPr>
          <w:b/>
          <w:bCs/>
        </w:rPr>
        <w:t xml:space="preserve">Expense trajectory</w:t>
      </w:r>
      <w:r>
        <w:t xml:space="preserve"> </w:t>
      </w:r>
      <w:r>
        <w:t xml:space="preserve">— commission expense is rising alongside underwriting profitability (agent incentive comp); watch non-commission expense growth (personnel, pension, technology spend) relative to fee revenue growth.</w:t>
      </w:r>
    </w:p>
    <w:p>
      <w:pPr>
        <w:pStyle w:val="Compact"/>
        <w:numPr>
          <w:ilvl w:val="0"/>
          <w:numId w:val="1004"/>
        </w:numPr>
      </w:pPr>
      <w:r>
        <w:rPr>
          <w:b/>
          <w:bCs/>
        </w:rPr>
        <w:t xml:space="preserve">Rate vs. competitive dynamics</w:t>
      </w:r>
      <w:r>
        <w:t xml:space="preserve"> </w:t>
      </w:r>
      <w:r>
        <w:t xml:space="preserve">— management has acknowledged pricing has "reached more adequate levels," increasing competitive pressure; any commentary on whether the broader market is entering a softening cycle (as flagged industry-wide in commercial lines) is important given ERIE's high dependence on rate-driven fee growth.</w:t>
      </w:r>
    </w:p>
    <w:p>
      <w:pPr>
        <w:pStyle w:val="Compact"/>
        <w:numPr>
          <w:ilvl w:val="0"/>
          <w:numId w:val="1004"/>
        </w:numPr>
      </w:pPr>
      <w:r>
        <w:rPr>
          <w:b/>
          <w:bCs/>
        </w:rPr>
        <w:t xml:space="preserve">CEO succession update</w:t>
      </w:r>
      <w:r>
        <w:t xml:space="preserve"> </w:t>
      </w:r>
      <w:r>
        <w:t xml:space="preserve">— any timeline or internal/external candidate signals.</w:t>
      </w:r>
    </w:p>
    <w:p>
      <w:pPr>
        <w:pStyle w:val="Compact"/>
        <w:numPr>
          <w:ilvl w:val="0"/>
          <w:numId w:val="1004"/>
        </w:numPr>
      </w:pPr>
      <w:r>
        <w:rPr>
          <w:b/>
          <w:bCs/>
        </w:rPr>
        <w:t xml:space="preserve">Capital return</w:t>
      </w:r>
      <w:r>
        <w:t xml:space="preserve"> </w:t>
      </w:r>
      <w:r>
        <w:t xml:space="preserve">— dividend trajectory and payout ratio, given the still-solid balance sheet ($10.1B Exchange surplus).</w:t>
      </w:r>
    </w:p>
    <w:p>
      <w:pPr>
        <w:pStyle w:val="Compact"/>
        <w:numPr>
          <w:ilvl w:val="0"/>
          <w:numId w:val="1004"/>
        </w:numPr>
      </w:pPr>
      <w:r>
        <w:rPr>
          <w:b/>
          <w:bCs/>
        </w:rPr>
        <w:t xml:space="preserve">Investment income</w:t>
      </w:r>
      <w:r>
        <w:t xml:space="preserve"> </w:t>
      </w:r>
      <w:r>
        <w:t xml:space="preserve">— a small but growing profit contributor as yields and invested balances rise.</w:t>
      </w:r>
    </w:p>
    <w:bookmarkEnd w:id="15"/>
    <w:bookmarkStart w:id="16" w:name="Xd2298109262e348cc69b8c3af4df6afc5cfe5b9"/>
    <w:p>
      <w:pPr>
        <w:pStyle w:val="Heading2"/>
      </w:pPr>
      <w:r>
        <w:t xml:space="preserve">8. Bottom Line for Investors</w:t>
      </w:r>
    </w:p>
    <w:p>
      <w:pPr>
        <w:pStyle w:val="FirstParagraph"/>
      </w:pPr>
      <w:r>
        <w:t xml:space="preserve">Erie heads into Thursday's report as a battered stock (down ~35-40% over the past year) trying to prove that Q1's profitability inflection is durable rather than a one-off benefit from an unusually mild catastrophe quarter. The consensus estimate of roughly flat EPS y/y suggests the Street isn't pricing in a clean beat, and the read-through from Cincinnati Financial's catastrophe-driven miss this week is a reason for caution on the underwriting side. On the other hand, Erie's core structural story — a fee-based management company riding a large, well-capitalized reciprocal exchange, now investing in technology and new products to fight retention pressure — remains intact. With a "Moderate Buy" consensus among a thin analyst coverage universe and a stock that has already de-rated sharply, the bar for a positive surprise may be lower than the headline growth deceleration narrative implies, but combined ratio trends and any incremental color on the CEO search are likely to matter more for the stock's near-term direction than the EPS print itself.</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2026-07-30T00:11:09Z</dcterms:created>
  <dcterms:modified xsi:type="dcterms:W3CDTF">2026-07-30T00:11:09Z</dcterms:modified>
</cp:coreProperties>
</file>

<file path=docProps/custom.xml><?xml version="1.0" encoding="utf-8"?>
<Properties xmlns="http://schemas.openxmlformats.org/officeDocument/2006/custom-properties" xmlns:vt="http://schemas.openxmlformats.org/officeDocument/2006/docPropsVTypes"/>
</file>