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erie-2q26-earnings-preview"/>
    <w:p>
      <w:pPr>
        <w:pStyle w:val="Heading1"/>
      </w:pPr>
      <w:r>
        <w:t xml:space="preserve">ERIE 2Q26 Earnings Preview</w:t>
      </w:r>
    </w:p>
    <w:p>
      <w:pPr>
        <w:pStyle w:val="FirstParagraph"/>
      </w:pPr>
      <w:r>
        <w:rPr>
          <w:b/>
          <w:bCs/>
        </w:rPr>
        <w:t xml:space="preserve">Report date:</w:t>
      </w:r>
      <w:r>
        <w:t xml:space="preserve"> </w:t>
      </w:r>
      <w:r>
        <w:t xml:space="preserve">Thursday, July 30, 2026, after market close</w:t>
      </w:r>
      <w:r>
        <w:br/>
      </w:r>
      <w:r>
        <w:rPr>
          <w:b/>
          <w:bCs/>
        </w:rPr>
        <w:t xml:space="preserve">Pre-recorded call:</w:t>
      </w:r>
      <w:r>
        <w:t xml:space="preserve"> </w:t>
      </w:r>
      <w:r>
        <w:t xml:space="preserve">Friday, July 31, at 10:00 a.m. ET</w:t>
      </w:r>
      <w:r>
        <w:br/>
      </w:r>
      <w:r>
        <w:rPr>
          <w:b/>
          <w:bCs/>
        </w:rPr>
        <w:t xml:space="preserve">July 29 close:</w:t>
      </w:r>
      <w:r>
        <w:t xml:space="preserve"> </w:t>
      </w:r>
      <w:r>
        <w:rPr>
          <w:b/>
          <w:bCs/>
        </w:rPr>
        <w:t xml:space="preserve">$245.54</w:t>
      </w:r>
    </w:p>
    <w:bookmarkStart w:id="9" w:name="investment-view-going-into-the-report"/>
    <w:p>
      <w:pPr>
        <w:pStyle w:val="Heading2"/>
      </w:pPr>
      <w:r>
        <w:t xml:space="preserve">Investment view going into the report</w:t>
      </w:r>
    </w:p>
    <w:p>
      <w:pPr>
        <w:pStyle w:val="FirstParagraph"/>
      </w:pPr>
      <w:r>
        <w:t xml:space="preserve">ERIE’s second-quarter report is principally a test of whether</w:t>
      </w:r>
      <w:r>
        <w:t xml:space="preserve"> </w:t>
      </w:r>
      <w:r>
        <w:rPr>
          <w:b/>
          <w:bCs/>
        </w:rPr>
        <w:t xml:space="preserve">improving profitability can offset slowing premium growth</w:t>
      </w:r>
      <w:r>
        <w:t xml:space="preserve">.</w:t>
      </w:r>
    </w:p>
    <w:p>
      <w:pPr>
        <w:pStyle w:val="BodyText"/>
      </w:pPr>
      <w:r>
        <w:t xml:space="preserve">The company entered 2026 with a healthier underlying insurance book and better expense leverage. First-quarter operating income increased 10.2%, even though Erie Insurance Exchange’s written-premium growth slowed to 3.6% from 13.9% a year earlier. The less favorable part of that result was a 1.7% decline in policies in force, 88.0% retention, and a 9.5% decline in new-business premiums.</w:t>
      </w:r>
    </w:p>
    <w:p>
      <w:pPr>
        <w:pStyle w:val="BodyText"/>
      </w:pPr>
      <w:r>
        <w:t xml:space="preserve">For the second quarter, investors should focus less on headline catastrophe losses alone and more on three questions:</w:t>
      </w:r>
    </w:p>
    <w:p>
      <w:pPr>
        <w:pStyle w:val="Compact"/>
        <w:numPr>
          <w:ilvl w:val="0"/>
          <w:numId w:val="1001"/>
        </w:numPr>
      </w:pPr>
      <w:r>
        <w:rPr>
          <w:b/>
          <w:bCs/>
        </w:rPr>
        <w:t xml:space="preserve">Has policy contraction stabilized?</w:t>
      </w:r>
    </w:p>
    <w:p>
      <w:pPr>
        <w:pStyle w:val="Compact"/>
        <w:numPr>
          <w:ilvl w:val="0"/>
          <w:numId w:val="1001"/>
        </w:numPr>
      </w:pPr>
      <w:r>
        <w:rPr>
          <w:b/>
          <w:bCs/>
        </w:rPr>
        <w:t xml:space="preserve">Can ERIE maintain operating margins as premium growth slows and agent incentive compensation rises?</w:t>
      </w:r>
    </w:p>
    <w:p>
      <w:pPr>
        <w:pStyle w:val="Compact"/>
        <w:numPr>
          <w:ilvl w:val="0"/>
          <w:numId w:val="1001"/>
        </w:numPr>
      </w:pPr>
      <w:r>
        <w:rPr>
          <w:b/>
          <w:bCs/>
        </w:rPr>
        <w:t xml:space="preserve">Is the Exchange’s improved rate adequacy translating into durable underwriting profitability?</w:t>
      </w:r>
    </w:p>
    <w:p>
      <w:pPr>
        <w:pStyle w:val="FirstParagraph"/>
      </w:pPr>
      <w:r>
        <w:t xml:space="preserve">A solid report would combine mid-single-digit premium growth, stabilization in retention and new business, and operating income at least holding near last year’s level. A weak report would show further policy attrition without enough expense flexibility to protect margins.</w:t>
      </w:r>
    </w:p>
    <w:p>
      <w:r>
        <w:pict>
          <v:rect style="width:0;height:1.5pt" o:hralign="center" o:hrstd="t" o:hr="t"/>
        </w:pict>
      </w:r>
    </w:p>
    <w:bookmarkEnd w:id="9"/>
    <w:bookmarkStart w:id="10" w:name="first-understand-what-investors-own"/>
    <w:p>
      <w:pPr>
        <w:pStyle w:val="Heading2"/>
      </w:pPr>
      <w:r>
        <w:t xml:space="preserve">First, understand what investors own</w:t>
      </w:r>
    </w:p>
    <w:p>
      <w:pPr>
        <w:pStyle w:val="FirstParagraph"/>
      </w:pPr>
      <w:r>
        <w:t xml:space="preserve">Erie Indemnity is not the direct property-and-casualty risk bearer. It serves as attorney-in-fact for Erie Insurance Exchange, its sole customer, and receives a management fee based on the Exchange’s written premiums. The fee remains at the contractual maximum of</w:t>
      </w:r>
      <w:r>
        <w:t xml:space="preserve"> </w:t>
      </w:r>
      <w:r>
        <w:rPr>
          <w:b/>
          <w:bCs/>
        </w:rPr>
        <w:t xml:space="preserve">25% in 2026</w:t>
      </w:r>
      <w:r>
        <w:t xml:space="preserve">.</w:t>
      </w:r>
    </w:p>
    <w:p>
      <w:pPr>
        <w:pStyle w:val="BodyText"/>
      </w:pPr>
      <w:r>
        <w:t xml:space="preserve">That creates an unusual earnings model:</w:t>
      </w:r>
    </w:p>
    <w:p>
      <w:pPr>
        <w:pStyle w:val="Compact"/>
        <w:numPr>
          <w:ilvl w:val="0"/>
          <w:numId w:val="1002"/>
        </w:numPr>
      </w:pPr>
      <w:r>
        <w:rPr>
          <w:b/>
          <w:bCs/>
        </w:rPr>
        <w:t xml:space="preserve">Written-premium growth at the Exchange</w:t>
      </w:r>
      <w:r>
        <w:t xml:space="preserve"> </w:t>
      </w:r>
      <w:r>
        <w:t xml:space="preserve">is the principal revenue driver.</w:t>
      </w:r>
    </w:p>
    <w:p>
      <w:pPr>
        <w:pStyle w:val="Compact"/>
        <w:numPr>
          <w:ilvl w:val="0"/>
          <w:numId w:val="1002"/>
        </w:numPr>
      </w:pPr>
      <w:r>
        <w:t xml:space="preserve">Catastrophe losses affect the Exchange directly, but do</w:t>
      </w:r>
      <w:r>
        <w:t xml:space="preserve"> </w:t>
      </w:r>
      <w:r>
        <w:rPr>
          <w:b/>
          <w:bCs/>
        </w:rPr>
        <w:t xml:space="preserve">not</w:t>
      </w:r>
      <w:r>
        <w:t xml:space="preserve"> </w:t>
      </w:r>
      <w:r>
        <w:t xml:space="preserve">flow dollar-for-dollar through ERIE’s income statement.</w:t>
      </w:r>
    </w:p>
    <w:p>
      <w:pPr>
        <w:pStyle w:val="Compact"/>
        <w:numPr>
          <w:ilvl w:val="0"/>
          <w:numId w:val="1002"/>
        </w:numPr>
      </w:pPr>
      <w:r>
        <w:t xml:space="preserve">Better Exchange underwriting results can actually increase ERIE’s</w:t>
      </w:r>
      <w:r>
        <w:t xml:space="preserve"> </w:t>
      </w:r>
      <w:r>
        <w:rPr>
          <w:b/>
          <w:bCs/>
        </w:rPr>
        <w:t xml:space="preserve">agent incentive compensation</w:t>
      </w:r>
      <w:r>
        <w:t xml:space="preserve">, creating some near-term expense pressure.</w:t>
      </w:r>
    </w:p>
    <w:p>
      <w:pPr>
        <w:pStyle w:val="Compact"/>
        <w:numPr>
          <w:ilvl w:val="0"/>
          <w:numId w:val="1002"/>
        </w:numPr>
      </w:pPr>
      <w:r>
        <w:t xml:space="preserve">Over the longer term, the Exchange’s profitability and capital strength matter because they support ratings, competitive positioning and premium growth.</w:t>
      </w:r>
    </w:p>
    <w:p>
      <w:pPr>
        <w:pStyle w:val="FirstParagraph"/>
      </w:pPr>
      <w:r>
        <w:t xml:space="preserve">Accordingly, the Exchange combined ratio is strategically important, but ERIE’s reported operating margin depends more directly on management-fee revenue versus commissions and other operating expenses.</w:t>
      </w:r>
    </w:p>
    <w:p>
      <w:r>
        <w:pict>
          <v:rect style="width:0;height:1.5pt" o:hralign="center" o:hrstd="t" o:hr="t"/>
        </w:pict>
      </w:r>
    </w:p>
    <w:bookmarkEnd w:id="10"/>
    <w:bookmarkStart w:id="11" w:name="recent-financial-scorecard"/>
    <w:p>
      <w:pPr>
        <w:pStyle w:val="Heading2"/>
      </w:pPr>
      <w:r>
        <w:t xml:space="preserve">Recent financial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YoY change</w:t>
            </w:r>
          </w:p>
        </w:tc>
      </w:tr>
      <w:tr>
        <w:tc>
          <w:tcPr/>
          <w:p>
            <w:pPr>
              <w:pStyle w:val="Compact"/>
            </w:pPr>
            <w:r>
              <w:t xml:space="preserve">Exchange direct and assumed written premiums</w:t>
            </w:r>
          </w:p>
        </w:tc>
        <w:tc>
          <w:tcPr/>
          <w:p>
            <w:pPr>
              <w:pStyle w:val="Compact"/>
              <w:jc w:val="right"/>
            </w:pPr>
            <w:r>
              <w:t xml:space="preserve">$3.23B</w:t>
            </w:r>
          </w:p>
        </w:tc>
        <w:tc>
          <w:tcPr/>
          <w:p>
            <w:pPr>
              <w:pStyle w:val="Compact"/>
              <w:jc w:val="right"/>
            </w:pPr>
            <w:r>
              <w:t xml:space="preserve">+3.6%</w:t>
            </w:r>
          </w:p>
        </w:tc>
      </w:tr>
      <w:tr>
        <w:tc>
          <w:tcPr/>
          <w:p>
            <w:pPr>
              <w:pStyle w:val="Compact"/>
            </w:pPr>
            <w:r>
              <w:t xml:space="preserve">Average premium per policy</w:t>
            </w:r>
          </w:p>
        </w:tc>
        <w:tc>
          <w:tcPr/>
          <w:p>
            <w:pPr>
              <w:pStyle w:val="Compact"/>
              <w:jc w:val="right"/>
            </w:pPr>
            <w:r>
              <w:t xml:space="preserve">—</w:t>
            </w:r>
          </w:p>
        </w:tc>
        <w:tc>
          <w:tcPr/>
          <w:p>
            <w:pPr>
              <w:pStyle w:val="Compact"/>
              <w:jc w:val="right"/>
            </w:pPr>
            <w:r>
              <w:t xml:space="preserve">+8.1%</w:t>
            </w:r>
          </w:p>
        </w:tc>
      </w:tr>
      <w:tr>
        <w:tc>
          <w:tcPr/>
          <w:p>
            <w:pPr>
              <w:pStyle w:val="Compact"/>
            </w:pPr>
            <w:r>
              <w:t xml:space="preserve">Policies in force</w:t>
            </w:r>
          </w:p>
        </w:tc>
        <w:tc>
          <w:tcPr/>
          <w:p>
            <w:pPr>
              <w:pStyle w:val="Compact"/>
              <w:jc w:val="right"/>
            </w:pPr>
            <w:r>
              <w:t xml:space="preserve">—</w:t>
            </w:r>
          </w:p>
        </w:tc>
        <w:tc>
          <w:tcPr/>
          <w:p>
            <w:pPr>
              <w:pStyle w:val="Compact"/>
              <w:jc w:val="right"/>
            </w:pPr>
            <w:r>
              <w:t xml:space="preserve">-1.7%</w:t>
            </w:r>
          </w:p>
        </w:tc>
      </w:tr>
      <w:tr>
        <w:tc>
          <w:tcPr/>
          <w:p>
            <w:pPr>
              <w:pStyle w:val="Compact"/>
            </w:pPr>
            <w:r>
              <w:t xml:space="preserve">Retention</w:t>
            </w:r>
          </w:p>
        </w:tc>
        <w:tc>
          <w:tcPr/>
          <w:p>
            <w:pPr>
              <w:pStyle w:val="Compact"/>
              <w:jc w:val="right"/>
            </w:pPr>
            <w:r>
              <w:t xml:space="preserve">88.0%</w:t>
            </w:r>
          </w:p>
        </w:tc>
        <w:tc>
          <w:tcPr/>
          <w:p>
            <w:pPr>
              <w:pStyle w:val="Compact"/>
              <w:jc w:val="right"/>
            </w:pPr>
            <w:r>
              <w:t xml:space="preserve">Down</w:t>
            </w:r>
          </w:p>
        </w:tc>
      </w:tr>
      <w:tr>
        <w:tc>
          <w:tcPr/>
          <w:p>
            <w:pPr>
              <w:pStyle w:val="Compact"/>
            </w:pPr>
            <w:r>
              <w:t xml:space="preserve">New-business premiums</w:t>
            </w:r>
          </w:p>
        </w:tc>
        <w:tc>
          <w:tcPr/>
          <w:p>
            <w:pPr>
              <w:pStyle w:val="Compact"/>
              <w:jc w:val="right"/>
            </w:pPr>
            <w:r>
              <w:t xml:space="preserve">$345M</w:t>
            </w:r>
          </w:p>
        </w:tc>
        <w:tc>
          <w:tcPr/>
          <w:p>
            <w:pPr>
              <w:pStyle w:val="Compact"/>
              <w:jc w:val="right"/>
            </w:pPr>
            <w:r>
              <w:t xml:space="preserve">-9.5%</w:t>
            </w:r>
          </w:p>
        </w:tc>
      </w:tr>
      <w:tr>
        <w:tc>
          <w:tcPr/>
          <w:p>
            <w:pPr>
              <w:pStyle w:val="Compact"/>
            </w:pPr>
            <w:r>
              <w:t xml:space="preserve">Personal-lines written premiums</w:t>
            </w:r>
          </w:p>
        </w:tc>
        <w:tc>
          <w:tcPr/>
          <w:p>
            <w:pPr>
              <w:pStyle w:val="Compact"/>
              <w:jc w:val="right"/>
            </w:pPr>
            <w:r>
              <w:t xml:space="preserve">$2.2B</w:t>
            </w:r>
          </w:p>
        </w:tc>
        <w:tc>
          <w:tcPr/>
          <w:p>
            <w:pPr>
              <w:pStyle w:val="Compact"/>
              <w:jc w:val="right"/>
            </w:pPr>
            <w:r>
              <w:t xml:space="preserve">+2.1%</w:t>
            </w:r>
          </w:p>
        </w:tc>
      </w:tr>
      <w:tr>
        <w:tc>
          <w:tcPr/>
          <w:p>
            <w:pPr>
              <w:pStyle w:val="Compact"/>
            </w:pPr>
            <w:r>
              <w:t xml:space="preserve">Commercial-lines written premiums</w:t>
            </w:r>
          </w:p>
        </w:tc>
        <w:tc>
          <w:tcPr/>
          <w:p>
            <w:pPr>
              <w:pStyle w:val="Compact"/>
              <w:jc w:val="right"/>
            </w:pPr>
            <w:r>
              <w:t xml:space="preserve">$1.0B</w:t>
            </w:r>
          </w:p>
        </w:tc>
        <w:tc>
          <w:tcPr/>
          <w:p>
            <w:pPr>
              <w:pStyle w:val="Compact"/>
              <w:jc w:val="right"/>
            </w:pPr>
            <w:r>
              <w:t xml:space="preserve">+6.8%</w:t>
            </w:r>
          </w:p>
        </w:tc>
      </w:tr>
      <w:tr>
        <w:tc>
          <w:tcPr/>
          <w:p>
            <w:pPr>
              <w:pStyle w:val="Compact"/>
            </w:pPr>
            <w:r>
              <w:t xml:space="preserve">Exchange combined ratio</w:t>
            </w:r>
          </w:p>
        </w:tc>
        <w:tc>
          <w:tcPr/>
          <w:p>
            <w:pPr>
              <w:pStyle w:val="Compact"/>
              <w:jc w:val="right"/>
            </w:pPr>
            <w:r>
              <w:t xml:space="preserve">99.4%</w:t>
            </w:r>
          </w:p>
        </w:tc>
        <w:tc>
          <w:tcPr/>
          <w:p>
            <w:pPr>
              <w:pStyle w:val="Compact"/>
              <w:jc w:val="right"/>
            </w:pPr>
            <w:r>
              <w:t xml:space="preserve">108.1% in 1Q25</w:t>
            </w:r>
          </w:p>
        </w:tc>
      </w:tr>
      <w:tr>
        <w:tc>
          <w:tcPr/>
          <w:p>
            <w:pPr>
              <w:pStyle w:val="Compact"/>
            </w:pPr>
            <w:r>
              <w:t xml:space="preserve">Management-fee revenue, policy services</w:t>
            </w:r>
          </w:p>
        </w:tc>
        <w:tc>
          <w:tcPr/>
          <w:p>
            <w:pPr>
              <w:pStyle w:val="Compact"/>
              <w:jc w:val="right"/>
            </w:pPr>
            <w:r>
              <w:t xml:space="preserve">$786.4M</w:t>
            </w:r>
          </w:p>
        </w:tc>
        <w:tc>
          <w:tcPr/>
          <w:p>
            <w:pPr>
              <w:pStyle w:val="Compact"/>
              <w:jc w:val="right"/>
            </w:pPr>
            <w:r>
              <w:t xml:space="preserve">+4.2%</w:t>
            </w:r>
          </w:p>
        </w:tc>
      </w:tr>
      <w:tr>
        <w:tc>
          <w:tcPr/>
          <w:p>
            <w:pPr>
              <w:pStyle w:val="Compact"/>
            </w:pPr>
            <w:r>
              <w:t xml:space="preserve">Operating income</w:t>
            </w:r>
          </w:p>
        </w:tc>
        <w:tc>
          <w:tcPr/>
          <w:p>
            <w:pPr>
              <w:pStyle w:val="Compact"/>
              <w:jc w:val="right"/>
            </w:pPr>
            <w:r>
              <w:t xml:space="preserve">$166.8M</w:t>
            </w:r>
          </w:p>
        </w:tc>
        <w:tc>
          <w:tcPr/>
          <w:p>
            <w:pPr>
              <w:pStyle w:val="Compact"/>
              <w:jc w:val="right"/>
            </w:pPr>
            <w:r>
              <w:t xml:space="preserve">+10.2%</w:t>
            </w:r>
          </w:p>
        </w:tc>
      </w:tr>
      <w:tr>
        <w:tc>
          <w:tcPr/>
          <w:p>
            <w:pPr>
              <w:pStyle w:val="Compact"/>
            </w:pPr>
            <w:r>
              <w:t xml:space="preserve">Net income</w:t>
            </w:r>
          </w:p>
        </w:tc>
        <w:tc>
          <w:tcPr/>
          <w:p>
            <w:pPr>
              <w:pStyle w:val="Compact"/>
              <w:jc w:val="right"/>
            </w:pPr>
            <w:r>
              <w:t xml:space="preserve">$150.5M</w:t>
            </w:r>
          </w:p>
        </w:tc>
        <w:tc>
          <w:tcPr/>
          <w:p>
            <w:pPr>
              <w:pStyle w:val="Compact"/>
              <w:jc w:val="right"/>
            </w:pPr>
            <w:r>
              <w:t xml:space="preserve">+8.7%</w:t>
            </w:r>
          </w:p>
        </w:tc>
      </w:tr>
      <w:tr>
        <w:tc>
          <w:tcPr/>
          <w:p>
            <w:pPr>
              <w:pStyle w:val="Compact"/>
            </w:pPr>
            <w:r>
              <w:t xml:space="preserve">Diluted EPS</w:t>
            </w:r>
          </w:p>
        </w:tc>
        <w:tc>
          <w:tcPr/>
          <w:p>
            <w:pPr>
              <w:pStyle w:val="Compact"/>
              <w:jc w:val="right"/>
            </w:pPr>
            <w:r>
              <w:t xml:space="preserve">$2.88</w:t>
            </w:r>
          </w:p>
        </w:tc>
        <w:tc>
          <w:tcPr/>
          <w:p>
            <w:pPr>
              <w:pStyle w:val="Compact"/>
              <w:jc w:val="right"/>
            </w:pPr>
            <w:r>
              <w:t xml:space="preserve">$2.65 in 1Q25</w:t>
            </w:r>
          </w:p>
        </w:tc>
      </w:tr>
    </w:tbl>
    <w:p>
      <w:pPr>
        <w:pStyle w:val="BodyText"/>
      </w:pPr>
      <w:r>
        <w:t xml:space="preserve">The first quarter showed the central tension in the current story:</w:t>
      </w:r>
      <w:r>
        <w:t xml:space="preserve"> </w:t>
      </w:r>
      <w:r>
        <w:rPr>
          <w:b/>
          <w:bCs/>
        </w:rPr>
        <w:t xml:space="preserve">pricing was still supporting premium growth, but customer counts and new business were weakening</w:t>
      </w:r>
      <w:r>
        <w:t xml:space="preserve">.</w:t>
      </w:r>
    </w:p>
    <w:p>
      <w:pPr>
        <w:pStyle w:val="BodyText"/>
      </w:pPr>
      <w:r>
        <w:t xml:space="preserve">Commercial lines remained notably healthier than personal lines. That divergence is worth watching again in the second quarter.</w:t>
      </w:r>
    </w:p>
    <w:p>
      <w:r>
        <w:pict>
          <v:rect style="width:0;height:1.5pt" o:hralign="center" o:hrstd="t" o:hr="t"/>
        </w:pict>
      </w:r>
    </w:p>
    <w:bookmarkEnd w:id="11"/>
    <w:bookmarkStart w:id="16" w:name="what-to-expect-from-2q26"/>
    <w:p>
      <w:pPr>
        <w:pStyle w:val="Heading2"/>
      </w:pPr>
      <w:r>
        <w:t xml:space="preserve">What to expect from 2Q26</w:t>
      </w:r>
    </w:p>
    <w:p>
      <w:pPr>
        <w:pStyle w:val="FirstParagraph"/>
      </w:pPr>
      <w:r>
        <w:t xml:space="preserve">ERIE does not have the broad analyst coverage or detailed quarterly guidance typical of a large national insurer. The following is an</w:t>
      </w:r>
      <w:r>
        <w:t xml:space="preserve"> </w:t>
      </w:r>
      <w:r>
        <w:rPr>
          <w:b/>
          <w:bCs/>
        </w:rPr>
        <w:t xml:space="preserve">illustrative investor framework, not a consensus forecast</w:t>
      </w:r>
      <w:r>
        <w:t xml:space="preserve">.</w:t>
      </w:r>
    </w:p>
    <w:bookmarkStart w:id="12" w:name="X8d8f294321007b7f7fbdb10e41d0474ffcd4bbf"/>
    <w:p>
      <w:pPr>
        <w:pStyle w:val="Heading3"/>
      </w:pPr>
      <w:r>
        <w:t xml:space="preserve">1. Written-premium growth probably remains in the low- to mid-single digits</w:t>
      </w:r>
    </w:p>
    <w:p>
      <w:pPr>
        <w:pStyle w:val="FirstParagraph"/>
      </w:pPr>
      <w:r>
        <w:t xml:space="preserve">Second-quarter 2025 policy issuance and renewal management-fee revenue was</w:t>
      </w:r>
      <w:r>
        <w:t xml:space="preserve"> </w:t>
      </w:r>
      <m:oMath>
        <m:r>
          <m:t>823.9</m:t>
        </m:r>
        <m:r>
          <m:t>m</m:t>
        </m:r>
        <m:r>
          <m:t>i</m:t>
        </m:r>
        <m:r>
          <m:t>l</m:t>
        </m:r>
        <m:r>
          <m:t>l</m:t>
        </m:r>
        <m:r>
          <m:t>i</m:t>
        </m:r>
        <m:r>
          <m:t>o</m:t>
        </m:r>
        <m:r>
          <m:t>n</m:t>
        </m:r>
        <m:r>
          <m:rPr>
            <m:sty m:val="p"/>
          </m:rPr>
          <m:t>.</m:t>
        </m:r>
        <m:r>
          <m:t>A</m:t>
        </m:r>
        <m:r>
          <m:t>p</m:t>
        </m:r>
        <m:r>
          <m:t>p</m:t>
        </m:r>
        <m:r>
          <m:t>l</m:t>
        </m:r>
        <m:r>
          <m:t>y</m:t>
        </m:r>
        <m:r>
          <m:t>i</m:t>
        </m:r>
        <m:r>
          <m:t>n</m:t>
        </m:r>
        <m:r>
          <m:t>g</m:t>
        </m:r>
        <m:r>
          <m:t>a</m:t>
        </m:r>
        <m:r>
          <m:t>p</m:t>
        </m:r>
        <m:r>
          <m:t>p</m:t>
        </m:r>
        <m:r>
          <m:t>r</m:t>
        </m:r>
        <m:r>
          <m:t>o</m:t>
        </m:r>
        <m:r>
          <m:t>x</m:t>
        </m:r>
        <m:r>
          <m:t>i</m:t>
        </m:r>
        <m:r>
          <m:t>m</m:t>
        </m:r>
        <m:r>
          <m:t>a</m:t>
        </m:r>
        <m:r>
          <m:t>t</m:t>
        </m:r>
        <m:r>
          <m:t>e</m:t>
        </m:r>
        <m:r>
          <m:t>l</m:t>
        </m:r>
        <m:r>
          <m:t>y</m:t>
        </m:r>
        <m:r>
          <m:t>2</m:t>
        </m:r>
      </m:oMath>
      <w:r>
        <w:t xml:space="preserve">840 million–$857 million** for 2Q26 before cancellation-estimate effects.</w:t>
      </w:r>
    </w:p>
    <w:p>
      <w:pPr>
        <w:pStyle w:val="BodyText"/>
      </w:pPr>
      <w:r>
        <w:t xml:space="preserve">The important issue will be the composition:</w:t>
      </w:r>
    </w:p>
    <w:p>
      <w:pPr>
        <w:pStyle w:val="Compact"/>
        <w:numPr>
          <w:ilvl w:val="0"/>
          <w:numId w:val="1003"/>
        </w:numPr>
      </w:pPr>
      <w:r>
        <w:t xml:space="preserve">Average premium should remain positive as prior rate actions continue to earn through the book.</w:t>
      </w:r>
    </w:p>
    <w:p>
      <w:pPr>
        <w:pStyle w:val="Compact"/>
        <w:numPr>
          <w:ilvl w:val="0"/>
          <w:numId w:val="1003"/>
        </w:numPr>
      </w:pPr>
      <w:r>
        <w:t xml:space="preserve">Policies in force are likely to remain under pressure.</w:t>
      </w:r>
    </w:p>
    <w:p>
      <w:pPr>
        <w:pStyle w:val="Compact"/>
        <w:numPr>
          <w:ilvl w:val="0"/>
          <w:numId w:val="1003"/>
        </w:numPr>
      </w:pPr>
      <w:r>
        <w:t xml:space="preserve">Management previously noted that higher premiums were affecting customer behavior and that the competitive environment had intensified.</w:t>
      </w:r>
    </w:p>
    <w:p>
      <w:pPr>
        <w:pStyle w:val="Compact"/>
        <w:numPr>
          <w:ilvl w:val="0"/>
          <w:numId w:val="1003"/>
        </w:numPr>
      </w:pPr>
      <w:r>
        <w:t xml:space="preserve">Commercial lines may continue to outperform personal lines.</w:t>
      </w:r>
    </w:p>
    <w:p>
      <w:pPr>
        <w:pStyle w:val="FirstParagraph"/>
      </w:pPr>
      <w:r>
        <w:t xml:space="preserve">Premium growth above 4% with stable or improving policy counts would be encouraging. Growth below 2%, particularly if accompanied by further deterioration in retention, would suggest that pricing benefits are fading faster than ERIE can restore unit growth.</w:t>
      </w:r>
    </w:p>
    <w:bookmarkEnd w:id="12"/>
    <w:bookmarkStart w:id="13" w:name="Xd64dd200bd2aa39bfe6367a031a7bb29e47cf1c"/>
    <w:p>
      <w:pPr>
        <w:pStyle w:val="Heading3"/>
      </w:pPr>
      <w:r>
        <w:t xml:space="preserve">2. Operating income could be roughly flat to modestly higher year over year</w:t>
      </w:r>
    </w:p>
    <w:p>
      <w:pPr>
        <w:pStyle w:val="FirstParagraph"/>
      </w:pPr>
      <w:r>
        <w:t xml:space="preserve">ERIE generated</w:t>
      </w:r>
      <w:r>
        <w:t xml:space="preserve"> </w:t>
      </w:r>
      <w:r>
        <w:rPr>
          <w:b/>
          <w:bCs/>
        </w:rPr>
        <w:t xml:space="preserve">$199.2 million</w:t>
      </w:r>
      <w:r>
        <w:t xml:space="preserve"> </w:t>
      </w:r>
      <w:r>
        <w:t xml:space="preserve">of operating income in 2Q25.</w:t>
      </w:r>
    </w:p>
    <w:p>
      <w:pPr>
        <w:pStyle w:val="BodyText"/>
      </w:pPr>
      <w:r>
        <w:t xml:space="preserve">Several crosscurrents will determine the comparison:</w:t>
      </w:r>
    </w:p>
    <w:p>
      <w:pPr>
        <w:pStyle w:val="BodyText"/>
      </w:pPr>
      <w:r>
        <w:rPr>
          <w:b/>
          <w:bCs/>
        </w:rPr>
        <w:t xml:space="preserve">Positive factors</w:t>
      </w:r>
    </w:p>
    <w:p>
      <w:pPr>
        <w:pStyle w:val="Compact"/>
        <w:numPr>
          <w:ilvl w:val="0"/>
          <w:numId w:val="1004"/>
        </w:numPr>
      </w:pPr>
      <w:r>
        <w:t xml:space="preserve">Continued written-premium growth.</w:t>
      </w:r>
    </w:p>
    <w:p>
      <w:pPr>
        <w:pStyle w:val="Compact"/>
        <w:numPr>
          <w:ilvl w:val="0"/>
          <w:numId w:val="1004"/>
        </w:numPr>
      </w:pPr>
      <w:r>
        <w:t xml:space="preserve">Better underlying rate adequacy.</w:t>
      </w:r>
    </w:p>
    <w:p>
      <w:pPr>
        <w:pStyle w:val="Compact"/>
        <w:numPr>
          <w:ilvl w:val="0"/>
          <w:numId w:val="1004"/>
        </w:numPr>
      </w:pPr>
      <w:r>
        <w:t xml:space="preserve">Potentially favorable noncommission expense comparisons.</w:t>
      </w:r>
    </w:p>
    <w:p>
      <w:pPr>
        <w:pStyle w:val="Compact"/>
        <w:numPr>
          <w:ilvl w:val="0"/>
          <w:numId w:val="1004"/>
        </w:numPr>
      </w:pPr>
      <w:r>
        <w:t xml:space="preserve">Technology modernization may gradually improve productivity.</w:t>
      </w:r>
    </w:p>
    <w:p>
      <w:pPr>
        <w:pStyle w:val="Compact"/>
        <w:numPr>
          <w:ilvl w:val="0"/>
          <w:numId w:val="1004"/>
        </w:numPr>
      </w:pPr>
      <w:r>
        <w:t xml:space="preserve">Administrative management-fee revenue should continue growing.</w:t>
      </w:r>
    </w:p>
    <w:p>
      <w:pPr>
        <w:pStyle w:val="FirstParagraph"/>
      </w:pPr>
      <w:r>
        <w:rPr>
          <w:b/>
          <w:bCs/>
        </w:rPr>
        <w:t xml:space="preserve">Offsets</w:t>
      </w:r>
    </w:p>
    <w:p>
      <w:pPr>
        <w:pStyle w:val="Compact"/>
        <w:numPr>
          <w:ilvl w:val="0"/>
          <w:numId w:val="1005"/>
        </w:numPr>
      </w:pPr>
      <w:r>
        <w:t xml:space="preserve">Scheduled commissions rise with written premiums.</w:t>
      </w:r>
    </w:p>
    <w:p>
      <w:pPr>
        <w:pStyle w:val="Compact"/>
        <w:numPr>
          <w:ilvl w:val="0"/>
          <w:numId w:val="1005"/>
        </w:numPr>
      </w:pPr>
      <w:r>
        <w:t xml:space="preserve">Agent incentive compensation is increasing as the Exchange’s three-year profitability metrics improve.</w:t>
      </w:r>
    </w:p>
    <w:p>
      <w:pPr>
        <w:pStyle w:val="Compact"/>
        <w:numPr>
          <w:ilvl w:val="0"/>
          <w:numId w:val="1005"/>
        </w:numPr>
      </w:pPr>
      <w:r>
        <w:t xml:space="preserve">First-quarter professional-fee reductions may not repeat at the same magnitude.</w:t>
      </w:r>
    </w:p>
    <w:p>
      <w:pPr>
        <w:pStyle w:val="Compact"/>
        <w:numPr>
          <w:ilvl w:val="0"/>
          <w:numId w:val="1005"/>
        </w:numPr>
      </w:pPr>
      <w:r>
        <w:t xml:space="preserve">Higher pension expense and compensation remain headwinds.</w:t>
      </w:r>
    </w:p>
    <w:p>
      <w:pPr>
        <w:pStyle w:val="Compact"/>
        <w:numPr>
          <w:ilvl w:val="0"/>
          <w:numId w:val="1005"/>
        </w:numPr>
      </w:pPr>
      <w:r>
        <w:t xml:space="preserve">Depreciation and amortization should rise as software investments enter service.</w:t>
      </w:r>
    </w:p>
    <w:p>
      <w:pPr>
        <w:pStyle w:val="FirstParagraph"/>
      </w:pPr>
      <w:r>
        <w:t xml:space="preserve">The first quarter’s 10.2% operating-income growth benefited from a 5.6% decline in noncommission costs. Investors should not automatically extrapolate that reduction. Expense growth closer to premium growth would likely leave second-quarter operating income near the prior-year level.</w:t>
      </w:r>
    </w:p>
    <w:bookmarkEnd w:id="13"/>
    <w:bookmarkStart w:id="14" w:name="Xf0f3469925a10d1d245b1c3f2aab737ee09c790"/>
    <w:p>
      <w:pPr>
        <w:pStyle w:val="Heading3"/>
      </w:pPr>
      <w:r>
        <w:t xml:space="preserve">3. Investment income should remain supportive</w:t>
      </w:r>
    </w:p>
    <w:p>
      <w:pPr>
        <w:pStyle w:val="FirstParagraph"/>
      </w:pPr>
      <w:r>
        <w:t xml:space="preserve">First-quarter net investment income increased 18.1% to $23.6 million, driven by larger bond holdings and higher yields.</w:t>
      </w:r>
    </w:p>
    <w:p>
      <w:pPr>
        <w:pStyle w:val="BodyText"/>
      </w:pPr>
      <w:r>
        <w:t xml:space="preserve">ERIE entered the quarter with a</w:t>
      </w:r>
      <w:r>
        <w:t xml:space="preserve"> </w:t>
      </w:r>
      <m:oMath>
        <m:r>
          <m:t>1.63</m:t>
        </m:r>
        <m:r>
          <m:t>b</m:t>
        </m:r>
        <m:r>
          <m:t>i</m:t>
        </m:r>
        <m:r>
          <m:t>l</m:t>
        </m:r>
        <m:r>
          <m:t>l</m:t>
        </m:r>
        <m:r>
          <m:t>i</m:t>
        </m:r>
        <m:r>
          <m:t>o</m:t>
        </m:r>
        <m:r>
          <m:t>n</m:t>
        </m:r>
        <m:r>
          <m:t>i</m:t>
        </m:r>
        <m:r>
          <m:t>n</m:t>
        </m:r>
        <m:r>
          <m:t>v</m:t>
        </m:r>
        <m:r>
          <m:t>e</m:t>
        </m:r>
        <m:r>
          <m:t>s</m:t>
        </m:r>
        <m:r>
          <m:t>t</m:t>
        </m:r>
        <m:r>
          <m:t>m</m:t>
        </m:r>
        <m:r>
          <m:t>e</m:t>
        </m:r>
        <m:r>
          <m:t>n</m:t>
        </m:r>
        <m:r>
          <m:t>t</m:t>
        </m:r>
        <m:r>
          <m:t>p</m:t>
        </m:r>
        <m:r>
          <m:t>o</m:t>
        </m:r>
        <m:r>
          <m:t>r</m:t>
        </m:r>
        <m:r>
          <m:t>t</m:t>
        </m:r>
        <m:r>
          <m:t>f</m:t>
        </m:r>
        <m:r>
          <m:t>o</m:t>
        </m:r>
        <m:r>
          <m:t>l</m:t>
        </m:r>
        <m:r>
          <m:t>i</m:t>
        </m:r>
        <m:r>
          <m:t>o</m:t>
        </m:r>
        <m:r>
          <m:rPr>
            <m:sty m:val="p"/>
          </m:rPr>
          <m:t>,</m:t>
        </m:r>
        <m:r>
          <m:t>85</m:t>
        </m:r>
      </m:oMath>
      <w:r>
        <w:t xml:space="preserve">20.0 million** recorded in 2Q25.</w:t>
      </w:r>
    </w:p>
    <w:p>
      <w:pPr>
        <w:pStyle w:val="BodyText"/>
      </w:pPr>
      <w:r>
        <w:t xml:space="preserve">Investment marks can create some quarterly EPS noise, but recurring operating income remains the more useful measure of business performance.</w:t>
      </w:r>
    </w:p>
    <w:bookmarkEnd w:id="14"/>
    <w:bookmarkStart w:id="15" w:name="illustrative-eps-range"/>
    <w:p>
      <w:pPr>
        <w:pStyle w:val="Heading3"/>
      </w:pPr>
      <w:r>
        <w:t xml:space="preserve">Illustrative EPS range</w:t>
      </w:r>
    </w:p>
    <w:p>
      <w:pPr>
        <w:pStyle w:val="FirstParagraph"/>
      </w:pPr>
      <w:r>
        <w:t xml:space="preserve">A reasonable, non-consensus range is approximately</w:t>
      </w:r>
      <w:r>
        <w:t xml:space="preserve"> </w:t>
      </w:r>
      <m:oMath>
        <m:r>
          <m:t>3.15</m:t>
        </m:r>
        <m:r>
          <m:rPr>
            <m:sty m:val="p"/>
          </m:rPr>
          <m:t>–</m:t>
        </m:r>
      </m:oMath>
      <w:r>
        <w:rPr>
          <w:b/>
          <w:bCs/>
        </w:rPr>
        <w:t xml:space="preserve">3.55 in diluted EPS</w:t>
      </w:r>
      <w:r>
        <w:t xml:space="preserve">, versus</w:t>
      </w:r>
      <w:r>
        <w:t xml:space="preserve"> </w:t>
      </w:r>
      <w:r>
        <w:rPr>
          <w:b/>
          <w:bCs/>
        </w:rPr>
        <w:t xml:space="preserve">$3.34 in 2Q25</w:t>
      </w:r>
      <w:r>
        <w:t xml:space="preserve">.</w:t>
      </w:r>
    </w:p>
    <w:p>
      <w:pPr>
        <w:pStyle w:val="BodyText"/>
      </w:pPr>
      <w:r>
        <w:t xml:space="preserve">The upper end would likely require:</w:t>
      </w:r>
    </w:p>
    <w:p>
      <w:pPr>
        <w:pStyle w:val="Compact"/>
        <w:numPr>
          <w:ilvl w:val="0"/>
          <w:numId w:val="1006"/>
        </w:numPr>
      </w:pPr>
      <w:r>
        <w:t xml:space="preserve">Premium growth near 4% or better;</w:t>
      </w:r>
    </w:p>
    <w:p>
      <w:pPr>
        <w:pStyle w:val="Compact"/>
        <w:numPr>
          <w:ilvl w:val="0"/>
          <w:numId w:val="1006"/>
        </w:numPr>
      </w:pPr>
      <w:r>
        <w:t xml:space="preserve">Continued control of noncommission expenses;</w:t>
      </w:r>
    </w:p>
    <w:p>
      <w:pPr>
        <w:pStyle w:val="Compact"/>
        <w:numPr>
          <w:ilvl w:val="0"/>
          <w:numId w:val="1006"/>
        </w:numPr>
      </w:pPr>
      <w:r>
        <w:t xml:space="preserve">A manageable increase in agent incentives; and</w:t>
      </w:r>
    </w:p>
    <w:p>
      <w:pPr>
        <w:pStyle w:val="Compact"/>
        <w:numPr>
          <w:ilvl w:val="0"/>
          <w:numId w:val="1006"/>
        </w:numPr>
      </w:pPr>
      <w:r>
        <w:t xml:space="preserve">Favorable investment income.</w:t>
      </w:r>
    </w:p>
    <w:p>
      <w:pPr>
        <w:pStyle w:val="FirstParagraph"/>
      </w:pPr>
      <w:r>
        <w:t xml:space="preserve">The lower end would be consistent with slower premium growth, continued policy attrition and a sharper increase in commissions.</w:t>
      </w:r>
    </w:p>
    <w:p>
      <w:r>
        <w:pict>
          <v:rect style="width:0;height:1.5pt" o:hralign="center" o:hrstd="t" o:hr="t"/>
        </w:pict>
      </w:r>
    </w:p>
    <w:bookmarkEnd w:id="15"/>
    <w:bookmarkEnd w:id="16"/>
    <w:bookmarkStart w:id="22" w:name="Xeee4aa4d711182699524ae5dcdc23d451670e41"/>
    <w:p>
      <w:pPr>
        <w:pStyle w:val="Heading2"/>
      </w:pPr>
      <w:r>
        <w:t xml:space="preserve">Five metrics that should drive the reaction</w:t>
      </w:r>
    </w:p>
    <w:bookmarkStart w:id="17" w:name="X5713290060af6e94f60eacf2cbbd9228100e8f3"/>
    <w:p>
      <w:pPr>
        <w:pStyle w:val="Heading3"/>
      </w:pPr>
      <w:r>
        <w:t xml:space="preserve">1. Policies in force and retention</w:t>
      </w:r>
    </w:p>
    <w:p>
      <w:pPr>
        <w:pStyle w:val="FirstParagraph"/>
      </w:pPr>
      <w:r>
        <w:t xml:space="preserve">These are arguably the most important figures in the report.</w:t>
      </w:r>
    </w:p>
    <w:p>
      <w:pPr>
        <w:pStyle w:val="BodyText"/>
      </w:pPr>
      <w:r>
        <w:t xml:space="preserve">At March 31:</w:t>
      </w:r>
    </w:p>
    <w:p>
      <w:pPr>
        <w:pStyle w:val="Compact"/>
        <w:numPr>
          <w:ilvl w:val="0"/>
          <w:numId w:val="1007"/>
        </w:numPr>
      </w:pPr>
      <w:r>
        <w:t xml:space="preserve">Policies in force were down 1.7%.</w:t>
      </w:r>
    </w:p>
    <w:p>
      <w:pPr>
        <w:pStyle w:val="Compact"/>
        <w:numPr>
          <w:ilvl w:val="0"/>
          <w:numId w:val="1007"/>
        </w:numPr>
      </w:pPr>
      <w:r>
        <w:t xml:space="preserve">Retention was 88.0%, versus 88.4% at year-end 2025.</w:t>
      </w:r>
    </w:p>
    <w:p>
      <w:pPr>
        <w:pStyle w:val="Compact"/>
        <w:numPr>
          <w:ilvl w:val="0"/>
          <w:numId w:val="1007"/>
        </w:numPr>
      </w:pPr>
      <w:r>
        <w:t xml:space="preserve">New-business policies fell 10.4%.</w:t>
      </w:r>
    </w:p>
    <w:p>
      <w:pPr>
        <w:pStyle w:val="FirstParagraph"/>
      </w:pPr>
      <w:r>
        <w:t xml:space="preserve">Pricing alone can sustain premium growth temporarily, but durable management-fee growth ultimately requires a stable or growing policy base. A sequential improvement in retention would be a meaningful positive signal, even if written-premium growth continues to decelerate.</w:t>
      </w:r>
    </w:p>
    <w:bookmarkEnd w:id="17"/>
    <w:bookmarkStart w:id="18" w:name="X84ed2ce526fdcfd91311723753aef377efa96dc"/>
    <w:p>
      <w:pPr>
        <w:pStyle w:val="Heading3"/>
      </w:pPr>
      <w:r>
        <w:t xml:space="preserve">2. New-business production</w:t>
      </w:r>
    </w:p>
    <w:p>
      <w:pPr>
        <w:pStyle w:val="FirstParagraph"/>
      </w:pPr>
      <w:r>
        <w:t xml:space="preserve">First-quarter new-business premiums declined 9.5%. Investors should look for evidence that product and distribution initiatives are improving submissions and conversion.</w:t>
      </w:r>
    </w:p>
    <w:p>
      <w:pPr>
        <w:pStyle w:val="BodyText"/>
      </w:pPr>
      <w:r>
        <w:t xml:space="preserve">Management’s key initiatives include:</w:t>
      </w:r>
    </w:p>
    <w:p>
      <w:pPr>
        <w:pStyle w:val="Compact"/>
        <w:numPr>
          <w:ilvl w:val="0"/>
          <w:numId w:val="1008"/>
        </w:numPr>
      </w:pPr>
      <w:r>
        <w:rPr>
          <w:b/>
          <w:bCs/>
        </w:rPr>
        <w:t xml:space="preserve">Erie Secure Auto</w:t>
      </w:r>
      <w:r>
        <w:t xml:space="preserve">, which was scheduled to expand beyond Ohio, Virginia and West Virginia during the second quarter;</w:t>
      </w:r>
    </w:p>
    <w:p>
      <w:pPr>
        <w:pStyle w:val="Compact"/>
        <w:numPr>
          <w:ilvl w:val="0"/>
          <w:numId w:val="1008"/>
        </w:numPr>
      </w:pPr>
      <w:r>
        <w:t xml:space="preserve">The new online quote platform, with expansion into Maryland, Pennsylvania, Virginia and West Virginia;</w:t>
      </w:r>
    </w:p>
    <w:p>
      <w:pPr>
        <w:pStyle w:val="Compact"/>
        <w:numPr>
          <w:ilvl w:val="0"/>
          <w:numId w:val="1008"/>
        </w:numPr>
      </w:pPr>
      <w:r>
        <w:t xml:space="preserve">Continued rollout of</w:t>
      </w:r>
      <w:r>
        <w:t xml:space="preserve"> </w:t>
      </w:r>
      <w:r>
        <w:rPr>
          <w:b/>
          <w:bCs/>
        </w:rPr>
        <w:t xml:space="preserve">Business Auto 2.0</w:t>
      </w:r>
      <w:r>
        <w:t xml:space="preserve">, with New York the remaining state as of the first-quarter call.</w:t>
      </w:r>
    </w:p>
    <w:p>
      <w:pPr>
        <w:pStyle w:val="FirstParagraph"/>
      </w:pPr>
      <w:r>
        <w:t xml:space="preserve">Management said the initial Erie Secure Auto launches were already improving submissions and premium. The upcoming commentary should indicate whether that progress is broad enough to begin affecting consolidated new-business trends.</w:t>
      </w:r>
    </w:p>
    <w:bookmarkEnd w:id="18"/>
    <w:bookmarkStart w:id="19" w:name="Xa679dba2e3c0ef49ab6b51b96f0de1c51e44956"/>
    <w:p>
      <w:pPr>
        <w:pStyle w:val="Heading3"/>
      </w:pPr>
      <w:r>
        <w:t xml:space="preserve">3. Exchange combined ratio and underlying loss ratio</w:t>
      </w:r>
    </w:p>
    <w:p>
      <w:pPr>
        <w:pStyle w:val="FirstParagraph"/>
      </w:pPr>
      <w:r>
        <w:t xml:space="preserve">The Exchange recorded a 99.4% first-quarter combined ratio, an 8.7-point improvement from the prior year. Non-catastrophe losses improved by approximately three points, while catastrophe losses improved by almost seven points.</w:t>
      </w:r>
    </w:p>
    <w:p>
      <w:pPr>
        <w:pStyle w:val="BodyText"/>
      </w:pPr>
      <w:r>
        <w:t xml:space="preserve">The second quarter is seasonally more exposed to severe weather. For context, catastrophe events added 20.7 percentage points to the Exchange’s 2Q25 combined ratio, which reached 116.9%.</w:t>
      </w:r>
    </w:p>
    <w:p>
      <w:pPr>
        <w:pStyle w:val="BodyText"/>
      </w:pPr>
      <w:r>
        <w:t xml:space="preserve">Investors should distinguish between:</w:t>
      </w:r>
    </w:p>
    <w:p>
      <w:pPr>
        <w:pStyle w:val="Compact"/>
        <w:numPr>
          <w:ilvl w:val="0"/>
          <w:numId w:val="1009"/>
        </w:numPr>
      </w:pPr>
      <w:r>
        <w:rPr>
          <w:b/>
          <w:bCs/>
        </w:rPr>
        <w:t xml:space="preserve">Weather volatility</w:t>
      </w:r>
      <w:r>
        <w:t xml:space="preserve">, which may not indicate a pricing problem; and</w:t>
      </w:r>
    </w:p>
    <w:p>
      <w:pPr>
        <w:pStyle w:val="Compact"/>
        <w:numPr>
          <w:ilvl w:val="0"/>
          <w:numId w:val="1009"/>
        </w:numPr>
      </w:pPr>
      <w:r>
        <w:t xml:space="preserve">The</w:t>
      </w:r>
      <w:r>
        <w:t xml:space="preserve"> </w:t>
      </w:r>
      <w:r>
        <w:rPr>
          <w:b/>
          <w:bCs/>
        </w:rPr>
        <w:t xml:space="preserve">current-year, non-catastrophe loss ratio</w:t>
      </w:r>
      <w:r>
        <w:t xml:space="preserve">, which is the better measure of whether cumulative rate increases have restored underwriting adequacy.</w:t>
      </w:r>
    </w:p>
    <w:p>
      <w:pPr>
        <w:pStyle w:val="FirstParagraph"/>
      </w:pPr>
      <w:r>
        <w:t xml:space="preserve">A strong underlying loss ratio could support the long-term thesis even if second-quarter weather produces a high reported combined ratio.</w:t>
      </w:r>
    </w:p>
    <w:bookmarkEnd w:id="19"/>
    <w:bookmarkStart w:id="20" w:name="X2398342fd004e64ac2112ebd2827a21521069cb"/>
    <w:p>
      <w:pPr>
        <w:pStyle w:val="Heading3"/>
      </w:pPr>
      <w:r>
        <w:t xml:space="preserve">4. Commission expense and operating leverage</w:t>
      </w:r>
    </w:p>
    <w:p>
      <w:pPr>
        <w:pStyle w:val="FirstParagraph"/>
      </w:pPr>
      <w:r>
        <w:t xml:space="preserve">Commissions are ERIE’s largest operating expense. They increased 6.4% in the first quarter, faster than written premiums, because of higher agent incentive compensation.</w:t>
      </w:r>
    </w:p>
    <w:p>
      <w:pPr>
        <w:pStyle w:val="BodyText"/>
      </w:pPr>
      <w:r>
        <w:t xml:space="preserve">This is an unusual but important dynamic: improving Exchange profitability is strategically positive, yet it can initially reduce ERIE’s operating leverage through higher incentive payouts.</w:t>
      </w:r>
    </w:p>
    <w:p>
      <w:pPr>
        <w:pStyle w:val="BodyText"/>
      </w:pPr>
      <w:r>
        <w:t xml:space="preserve">Investors should compare:</w:t>
      </w:r>
    </w:p>
    <w:p>
      <w:pPr>
        <w:pStyle w:val="Compact"/>
        <w:numPr>
          <w:ilvl w:val="0"/>
          <w:numId w:val="1010"/>
        </w:numPr>
      </w:pPr>
      <w:r>
        <w:t xml:space="preserve">Management-fee revenue growth;</w:t>
      </w:r>
    </w:p>
    <w:p>
      <w:pPr>
        <w:pStyle w:val="Compact"/>
        <w:numPr>
          <w:ilvl w:val="0"/>
          <w:numId w:val="1010"/>
        </w:numPr>
      </w:pPr>
      <w:r>
        <w:t xml:space="preserve">Scheduled commission growth;</w:t>
      </w:r>
    </w:p>
    <w:p>
      <w:pPr>
        <w:pStyle w:val="Compact"/>
        <w:numPr>
          <w:ilvl w:val="0"/>
          <w:numId w:val="1010"/>
        </w:numPr>
      </w:pPr>
      <w:r>
        <w:t xml:space="preserve">Agent incentive compensation;</w:t>
      </w:r>
    </w:p>
    <w:p>
      <w:pPr>
        <w:pStyle w:val="Compact"/>
        <w:numPr>
          <w:ilvl w:val="0"/>
          <w:numId w:val="1010"/>
        </w:numPr>
      </w:pPr>
      <w:r>
        <w:t xml:space="preserve">Total noncommission expense; and</w:t>
      </w:r>
    </w:p>
    <w:p>
      <w:pPr>
        <w:pStyle w:val="Compact"/>
        <w:numPr>
          <w:ilvl w:val="0"/>
          <w:numId w:val="1010"/>
        </w:numPr>
      </w:pPr>
      <w:r>
        <w:t xml:space="preserve">Policy issuance and renewal operating income.</w:t>
      </w:r>
    </w:p>
    <w:p>
      <w:pPr>
        <w:pStyle w:val="FirstParagraph"/>
      </w:pPr>
      <w:r>
        <w:t xml:space="preserve">Revenue growth of 3%–4% with total policy-service costs growing materially faster would be a concern. Conversely, operating-income growth despite low-single-digit premium growth would demonstrate meaningful expense discipline.</w:t>
      </w:r>
    </w:p>
    <w:bookmarkEnd w:id="20"/>
    <w:bookmarkStart w:id="21" w:name="Xd55ff7a59aa8b87f14b5c62ef80f6f151fc69a4"/>
    <w:p>
      <w:pPr>
        <w:pStyle w:val="Heading3"/>
      </w:pPr>
      <w:r>
        <w:t xml:space="preserve">5. Exchange capital and ratings trajectory</w:t>
      </w:r>
    </w:p>
    <w:p>
      <w:pPr>
        <w:pStyle w:val="FirstParagraph"/>
      </w:pPr>
      <w:r>
        <w:t xml:space="preserve">The Exchange had</w:t>
      </w:r>
      <w:r>
        <w:t xml:space="preserve"> </w:t>
      </w:r>
      <w:r>
        <w:rPr>
          <w:b/>
          <w:bCs/>
        </w:rPr>
        <w:t xml:space="preserve">$10.1 billion of policyholder surplus</w:t>
      </w:r>
      <w:r>
        <w:t xml:space="preserve"> </w:t>
      </w:r>
      <w:r>
        <w:t xml:space="preserve">at March 31, unchanged from year-end. Its AM Best rating is</w:t>
      </w:r>
      <w:r>
        <w:t xml:space="preserve"> </w:t>
      </w:r>
      <w:r>
        <w:rPr>
          <w:b/>
          <w:bCs/>
        </w:rPr>
        <w:t xml:space="preserve">A (Excellent)</w:t>
      </w:r>
      <w:r>
        <w:t xml:space="preserve"> </w:t>
      </w:r>
      <w:r>
        <w:t xml:space="preserve">with a stable outlook, following a downgrade in September 2025 related to recent underwriting losses.</w:t>
      </w:r>
    </w:p>
    <w:p>
      <w:pPr>
        <w:pStyle w:val="BodyText"/>
      </w:pPr>
      <w:r>
        <w:t xml:space="preserve">The rating remains strong, but another weather-heavy quarter could keep the focus on the pace of underwriting recovery. Stable or increasing surplus and continued sub-100 underlying results would help reduce this overhang.</w:t>
      </w:r>
    </w:p>
    <w:p>
      <w:r>
        <w:pict>
          <v:rect style="width:0;height:1.5pt" o:hralign="center" o:hrstd="t" o:hr="t"/>
        </w:pict>
      </w:r>
    </w:p>
    <w:bookmarkEnd w:id="21"/>
    <w:bookmarkEnd w:id="22"/>
    <w:bookmarkStart w:id="23" w:name="stock-and-valuation-setup"/>
    <w:p>
      <w:pPr>
        <w:pStyle w:val="Heading2"/>
      </w:pPr>
      <w:r>
        <w:t xml:space="preserve">Stock and valuation setup</w:t>
      </w:r>
    </w:p>
    <w:p>
      <w:pPr>
        <w:pStyle w:val="FirstParagraph"/>
      </w:pPr>
      <w:r>
        <w:t xml:space="preserve">At $245.54, ERIE shares are:</w:t>
      </w:r>
    </w:p>
    <w:p>
      <w:pPr>
        <w:pStyle w:val="Compact"/>
        <w:numPr>
          <w:ilvl w:val="0"/>
          <w:numId w:val="1011"/>
        </w:numPr>
      </w:pPr>
      <w:r>
        <w:t xml:space="preserve">Down approximately</w:t>
      </w:r>
      <w:r>
        <w:t xml:space="preserve"> </w:t>
      </w:r>
      <w:r>
        <w:rPr>
          <w:b/>
          <w:bCs/>
        </w:rPr>
        <w:t xml:space="preserve">31%</w:t>
      </w:r>
      <w:r>
        <w:t xml:space="preserve"> </w:t>
      </w:r>
      <w:r>
        <w:t xml:space="preserve">from July 29, 2025;</w:t>
      </w:r>
    </w:p>
    <w:p>
      <w:pPr>
        <w:pStyle w:val="Compact"/>
        <w:numPr>
          <w:ilvl w:val="0"/>
          <w:numId w:val="1011"/>
        </w:numPr>
      </w:pPr>
      <w:r>
        <w:t xml:space="preserve">Down approximately</w:t>
      </w:r>
      <w:r>
        <w:t xml:space="preserve"> </w:t>
      </w:r>
      <w:r>
        <w:rPr>
          <w:b/>
          <w:bCs/>
        </w:rPr>
        <w:t xml:space="preserve">14%</w:t>
      </w:r>
      <w:r>
        <w:t xml:space="preserve"> </w:t>
      </w:r>
      <w:r>
        <w:t xml:space="preserve">from year-end 2025; but</w:t>
      </w:r>
    </w:p>
    <w:p>
      <w:pPr>
        <w:pStyle w:val="Compact"/>
        <w:numPr>
          <w:ilvl w:val="0"/>
          <w:numId w:val="1011"/>
        </w:numPr>
      </w:pPr>
      <w:r>
        <w:t xml:space="preserve">Up approximately</w:t>
      </w:r>
      <w:r>
        <w:t xml:space="preserve"> </w:t>
      </w:r>
      <w:r>
        <w:rPr>
          <w:b/>
          <w:bCs/>
        </w:rPr>
        <w:t xml:space="preserve">17%</w:t>
      </w:r>
      <w:r>
        <w:t xml:space="preserve"> </w:t>
      </w:r>
      <w:r>
        <w:t xml:space="preserve">from the July 15, 2026 close.</w:t>
      </w:r>
    </w:p>
    <w:p>
      <w:pPr>
        <w:pStyle w:val="FirstParagraph"/>
      </w:pPr>
      <w:r>
        <w:t xml:space="preserve">Using approximately 52.3 million Class A-equivalent diluted shares, the equity value is about</w:t>
      </w:r>
      <w:r>
        <w:t xml:space="preserve"> </w:t>
      </w:r>
      <w:r>
        <w:rPr>
          <w:b/>
          <w:bCs/>
        </w:rPr>
        <w:t xml:space="preserve">$12.8 billion</w:t>
      </w:r>
      <w:r>
        <w:t xml:space="preserve">.</w:t>
      </w:r>
    </w:p>
    <w:p>
      <w:pPr>
        <w:pStyle w:val="BodyText"/>
      </w:pPr>
      <w:r>
        <w:t xml:space="preserve">Reported trailing diluted EPS is approximately</w:t>
      </w:r>
      <w:r>
        <w:t xml:space="preserve"> </w:t>
      </w:r>
      <w:r>
        <w:rPr>
          <w:b/>
          <w:bCs/>
        </w:rPr>
        <w:t xml:space="preserve">$10.92</w:t>
      </w:r>
      <w:r>
        <w:t xml:space="preserve">, implying a trailing P/E near</w:t>
      </w:r>
      <w:r>
        <w:t xml:space="preserve"> </w:t>
      </w:r>
      <w:r>
        <w:rPr>
          <w:b/>
          <w:bCs/>
        </w:rPr>
        <w:t xml:space="preserve">22.5x</w:t>
      </w:r>
      <w:r>
        <w:t xml:space="preserve">. That figure is distorted by the $100 million Erie Insurance Foundation contribution made in 2025, which reduced net income by about $80.6 million after tax. Excluding that one-time contribution, the trailing multiple is closer to</w:t>
      </w:r>
      <w:r>
        <w:t xml:space="preserve"> </w:t>
      </w:r>
      <w:r>
        <w:rPr>
          <w:b/>
          <w:bCs/>
        </w:rPr>
        <w:t xml:space="preserve">20x</w:t>
      </w:r>
      <w:r>
        <w:t xml:space="preserve">.</w:t>
      </w:r>
    </w:p>
    <w:p>
      <w:pPr>
        <w:pStyle w:val="BodyText"/>
      </w:pPr>
      <w:r>
        <w:t xml:space="preserve">The annualized Class A dividend is $5.85 per share, producing a yield of approximately</w:t>
      </w:r>
      <w:r>
        <w:t xml:space="preserve"> </w:t>
      </w:r>
      <w:r>
        <w:rPr>
          <w:b/>
          <w:bCs/>
        </w:rPr>
        <w:t xml:space="preserve">2.4%</w:t>
      </w:r>
      <w:r>
        <w:t xml:space="preserve">.</w:t>
      </w:r>
    </w:p>
    <w:p>
      <w:pPr>
        <w:pStyle w:val="BodyText"/>
      </w:pPr>
      <w:r>
        <w:t xml:space="preserve">The stock’s substantial decline has reduced the valuation risk, but the multiple still assumes that ERIE can preserve its premium franchise and restore healthier unit growth. Consequently, policy and retention trends may matter more to the share reaction than a modest quarterly EPS beat.</w:t>
      </w:r>
    </w:p>
    <w:p>
      <w:r>
        <w:pict>
          <v:rect style="width:0;height:1.5pt" o:hralign="center" o:hrstd="t" o:hr="t"/>
        </w:pict>
      </w:r>
    </w:p>
    <w:bookmarkEnd w:id="23"/>
    <w:bookmarkStart w:id="27" w:name="bull-base-and-bear-interpretations"/>
    <w:p>
      <w:pPr>
        <w:pStyle w:val="Heading2"/>
      </w:pPr>
      <w:r>
        <w:t xml:space="preserve">Bull, base and bear interpretations</w:t>
      </w:r>
    </w:p>
    <w:bookmarkStart w:id="24" w:name="bull-case"/>
    <w:p>
      <w:pPr>
        <w:pStyle w:val="Heading3"/>
      </w:pPr>
      <w:r>
        <w:t xml:space="preserve">Bull case</w:t>
      </w:r>
    </w:p>
    <w:p>
      <w:pPr>
        <w:pStyle w:val="Compact"/>
        <w:numPr>
          <w:ilvl w:val="0"/>
          <w:numId w:val="1012"/>
        </w:numPr>
      </w:pPr>
      <w:r>
        <w:t xml:space="preserve">Written premiums grow at least 4%.</w:t>
      </w:r>
    </w:p>
    <w:p>
      <w:pPr>
        <w:pStyle w:val="Compact"/>
        <w:numPr>
          <w:ilvl w:val="0"/>
          <w:numId w:val="1012"/>
        </w:numPr>
      </w:pPr>
      <w:r>
        <w:t xml:space="preserve">Retention stabilizes or improves sequentially.</w:t>
      </w:r>
    </w:p>
    <w:p>
      <w:pPr>
        <w:pStyle w:val="Compact"/>
        <w:numPr>
          <w:ilvl w:val="0"/>
          <w:numId w:val="1012"/>
        </w:numPr>
      </w:pPr>
      <w:r>
        <w:t xml:space="preserve">New-business declines moderate materially.</w:t>
      </w:r>
    </w:p>
    <w:p>
      <w:pPr>
        <w:pStyle w:val="Compact"/>
        <w:numPr>
          <w:ilvl w:val="0"/>
          <w:numId w:val="1012"/>
        </w:numPr>
      </w:pPr>
      <w:r>
        <w:t xml:space="preserve">Underlying Exchange underwriting remains profitable.</w:t>
      </w:r>
    </w:p>
    <w:p>
      <w:pPr>
        <w:pStyle w:val="Compact"/>
        <w:numPr>
          <w:ilvl w:val="0"/>
          <w:numId w:val="1012"/>
        </w:numPr>
      </w:pPr>
      <w:r>
        <w:t xml:space="preserve">Noncommission expense remains controlled.</w:t>
      </w:r>
    </w:p>
    <w:p>
      <w:pPr>
        <w:pStyle w:val="Compact"/>
        <w:numPr>
          <w:ilvl w:val="0"/>
          <w:numId w:val="1012"/>
        </w:numPr>
      </w:pPr>
      <w:r>
        <w:t xml:space="preserve">Operating income exceeds 2Q25 despite higher agent incentives.</w:t>
      </w:r>
    </w:p>
    <w:p>
      <w:pPr>
        <w:pStyle w:val="Compact"/>
        <w:numPr>
          <w:ilvl w:val="0"/>
          <w:numId w:val="1012"/>
        </w:numPr>
      </w:pPr>
      <w:r>
        <w:t xml:space="preserve">Management reports encouraging early results from Secure Auto and online quoting.</w:t>
      </w:r>
    </w:p>
    <w:p>
      <w:pPr>
        <w:pStyle w:val="FirstParagraph"/>
      </w:pPr>
      <w:r>
        <w:t xml:space="preserve">This would suggest that ERIE is transitioning from rate-led growth to a more balanced combination of profitability and policy growth.</w:t>
      </w:r>
    </w:p>
    <w:bookmarkEnd w:id="24"/>
    <w:bookmarkStart w:id="25" w:name="base-case"/>
    <w:p>
      <w:pPr>
        <w:pStyle w:val="Heading3"/>
      </w:pPr>
      <w:r>
        <w:t xml:space="preserve">Base case</w:t>
      </w:r>
    </w:p>
    <w:p>
      <w:pPr>
        <w:pStyle w:val="Compact"/>
        <w:numPr>
          <w:ilvl w:val="0"/>
          <w:numId w:val="1013"/>
        </w:numPr>
      </w:pPr>
      <w:r>
        <w:t xml:space="preserve">Written premiums rise 2%–4%.</w:t>
      </w:r>
    </w:p>
    <w:p>
      <w:pPr>
        <w:pStyle w:val="Compact"/>
        <w:numPr>
          <w:ilvl w:val="0"/>
          <w:numId w:val="1013"/>
        </w:numPr>
      </w:pPr>
      <w:r>
        <w:t xml:space="preserve">Policies in force remain modestly negative.</w:t>
      </w:r>
    </w:p>
    <w:p>
      <w:pPr>
        <w:pStyle w:val="Compact"/>
        <w:numPr>
          <w:ilvl w:val="0"/>
          <w:numId w:val="1013"/>
        </w:numPr>
      </w:pPr>
      <w:r>
        <w:t xml:space="preserve">Retention is roughly stable near 88%.</w:t>
      </w:r>
    </w:p>
    <w:p>
      <w:pPr>
        <w:pStyle w:val="Compact"/>
        <w:numPr>
          <w:ilvl w:val="0"/>
          <w:numId w:val="1013"/>
        </w:numPr>
      </w:pPr>
      <w:r>
        <w:t xml:space="preserve">The Exchange posts favorable underlying results but meaningful catastrophe losses.</w:t>
      </w:r>
    </w:p>
    <w:p>
      <w:pPr>
        <w:pStyle w:val="Compact"/>
        <w:numPr>
          <w:ilvl w:val="0"/>
          <w:numId w:val="1013"/>
        </w:numPr>
      </w:pPr>
      <w:r>
        <w:t xml:space="preserve">Operating income and EPS are approximately flat year over year.</w:t>
      </w:r>
    </w:p>
    <w:p>
      <w:pPr>
        <w:pStyle w:val="FirstParagraph"/>
      </w:pPr>
      <w:r>
        <w:t xml:space="preserve">This would support the view that profitability has improved, but leave open the question of when new-business and policy growth will recover.</w:t>
      </w:r>
    </w:p>
    <w:bookmarkEnd w:id="25"/>
    <w:bookmarkStart w:id="26" w:name="bear-case"/>
    <w:p>
      <w:pPr>
        <w:pStyle w:val="Heading3"/>
      </w:pPr>
      <w:r>
        <w:t xml:space="preserve">Bear case</w:t>
      </w:r>
    </w:p>
    <w:p>
      <w:pPr>
        <w:pStyle w:val="Compact"/>
        <w:numPr>
          <w:ilvl w:val="0"/>
          <w:numId w:val="1014"/>
        </w:numPr>
      </w:pPr>
      <w:r>
        <w:t xml:space="preserve">Written-premium growth falls below 2%.</w:t>
      </w:r>
    </w:p>
    <w:p>
      <w:pPr>
        <w:pStyle w:val="Compact"/>
        <w:numPr>
          <w:ilvl w:val="0"/>
          <w:numId w:val="1014"/>
        </w:numPr>
      </w:pPr>
      <w:r>
        <w:t xml:space="preserve">Policies in force and retention deteriorate further.</w:t>
      </w:r>
    </w:p>
    <w:p>
      <w:pPr>
        <w:pStyle w:val="Compact"/>
        <w:numPr>
          <w:ilvl w:val="0"/>
          <w:numId w:val="1014"/>
        </w:numPr>
      </w:pPr>
      <w:r>
        <w:t xml:space="preserve">New business remains down double digits.</w:t>
      </w:r>
    </w:p>
    <w:p>
      <w:pPr>
        <w:pStyle w:val="Compact"/>
        <w:numPr>
          <w:ilvl w:val="0"/>
          <w:numId w:val="1014"/>
        </w:numPr>
      </w:pPr>
      <w:r>
        <w:t xml:space="preserve">Agent incentives and other costs grow faster than revenue.</w:t>
      </w:r>
    </w:p>
    <w:p>
      <w:pPr>
        <w:pStyle w:val="Compact"/>
        <w:numPr>
          <w:ilvl w:val="0"/>
          <w:numId w:val="1014"/>
        </w:numPr>
      </w:pPr>
      <w:r>
        <w:t xml:space="preserve">The Exchange’s underlying loss ratio worsens, rather than merely suffering elevated weather losses.</w:t>
      </w:r>
    </w:p>
    <w:p>
      <w:pPr>
        <w:pStyle w:val="Compact"/>
        <w:numPr>
          <w:ilvl w:val="0"/>
          <w:numId w:val="1014"/>
        </w:numPr>
      </w:pPr>
      <w:r>
        <w:t xml:space="preserve">Management provides limited evidence that new products are improving conversion.</w:t>
      </w:r>
    </w:p>
    <w:p>
      <w:pPr>
        <w:pStyle w:val="FirstParagraph"/>
      </w:pPr>
      <w:r>
        <w:t xml:space="preserve">That combination would indicate that premium increases have damaged ERIE’s competitive position more than expected and could pressure management-fee growth beyond 2026.</w:t>
      </w:r>
    </w:p>
    <w:p>
      <w:r>
        <w:pict>
          <v:rect style="width:0;height:1.5pt" o:hralign="center" o:hrstd="t" o:hr="t"/>
        </w:pict>
      </w:r>
    </w:p>
    <w:bookmarkEnd w:id="26"/>
    <w:bookmarkEnd w:id="27"/>
    <w:bookmarkStart w:id="28" w:name="bottom-line"/>
    <w:p>
      <w:pPr>
        <w:pStyle w:val="Heading2"/>
      </w:pPr>
      <w:r>
        <w:t xml:space="preserve">Bottom line</w:t>
      </w:r>
    </w:p>
    <w:p>
      <w:pPr>
        <w:pStyle w:val="FirstParagraph"/>
      </w:pPr>
      <w:r>
        <w:t xml:space="preserve">The second-quarter headline EPS number is important, but it is not the primary debate.</w:t>
      </w:r>
    </w:p>
    <w:p>
      <w:pPr>
        <w:pStyle w:val="BodyText"/>
      </w:pPr>
      <w:r>
        <w:t xml:space="preserve">The report needs to show that ERIE is progressing from</w:t>
      </w:r>
      <w:r>
        <w:t xml:space="preserve"> </w:t>
      </w:r>
      <w:r>
        <w:rPr>
          <w:b/>
          <w:bCs/>
        </w:rPr>
        <w:t xml:space="preserve">rate-driven premium growth and weather-distorted profitability</w:t>
      </w:r>
      <w:r>
        <w:t xml:space="preserve"> </w:t>
      </w:r>
      <w:r>
        <w:t xml:space="preserve">toward a healthier operating model characterized by:</w:t>
      </w:r>
    </w:p>
    <w:p>
      <w:pPr>
        <w:pStyle w:val="Compact"/>
        <w:numPr>
          <w:ilvl w:val="0"/>
          <w:numId w:val="1015"/>
        </w:numPr>
      </w:pPr>
      <w:r>
        <w:t xml:space="preserve">Stable retention and policy counts;</w:t>
      </w:r>
    </w:p>
    <w:p>
      <w:pPr>
        <w:pStyle w:val="Compact"/>
        <w:numPr>
          <w:ilvl w:val="0"/>
          <w:numId w:val="1015"/>
        </w:numPr>
      </w:pPr>
      <w:r>
        <w:t xml:space="preserve">Better new-business production;</w:t>
      </w:r>
    </w:p>
    <w:p>
      <w:pPr>
        <w:pStyle w:val="Compact"/>
        <w:numPr>
          <w:ilvl w:val="0"/>
          <w:numId w:val="1015"/>
        </w:numPr>
      </w:pPr>
      <w:r>
        <w:t xml:space="preserve">Sustainable underlying Exchange profitability; and</w:t>
      </w:r>
    </w:p>
    <w:p>
      <w:pPr>
        <w:pStyle w:val="Compact"/>
        <w:numPr>
          <w:ilvl w:val="0"/>
          <w:numId w:val="1015"/>
        </w:numPr>
      </w:pPr>
      <w:r>
        <w:t xml:space="preserve">Expense growth that does not outrun management-fee revenue.</w:t>
      </w:r>
    </w:p>
    <w:p>
      <w:pPr>
        <w:pStyle w:val="FirstParagraph"/>
      </w:pPr>
      <w:r>
        <w:t xml:space="preserve">The cleanest positive signal would be</w:t>
      </w:r>
      <w:r>
        <w:t xml:space="preserve"> </w:t>
      </w:r>
      <w:r>
        <w:rPr>
          <w:b/>
          <w:bCs/>
        </w:rPr>
        <w:t xml:space="preserve">stabilizing policies in force alongside roughly flat-to-higher operating income</w:t>
      </w:r>
      <w:r>
        <w:t xml:space="preserve">. If policy attrition accelerates, even a respectable EPS result may not be enough to reassure investors about the company’s medium-term growth rate.</w:t>
      </w:r>
    </w:p>
    <w:p>
      <w:r>
        <w:pict>
          <v:rect style="width:0;height:1.5pt" o:hralign="center" o:hrstd="t" o:hr="t"/>
        </w:pict>
      </w:r>
    </w:p>
    <w:p>
      <w:pPr>
        <w:pStyle w:val="FirstParagraph"/>
      </w:pPr>
      <w:r>
        <w:rPr>
          <w:i/>
          <w:iCs/>
        </w:rPr>
        <w:t xml:space="preserve">Sources: Erie Indemnity 2025 Form 10-K; 1Q26 Form 10-Q and earnings call; 2Q25 Form 10-Q and earnings call; July 17, 2026 earnings-call announcement; stock prices through July 29, 2026. Illustrative estimates are the author’s calculations and are not Wall Street consensus.</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2026-07-29T19:47:38Z</dcterms:created>
  <dcterms:modified xsi:type="dcterms:W3CDTF">2026-07-29T19:47:38Z</dcterms:modified>
</cp:coreProperties>
</file>

<file path=docProps/custom.xml><?xml version="1.0" encoding="utf-8"?>
<Properties xmlns="http://schemas.openxmlformats.org/officeDocument/2006/custom-properties" xmlns:vt="http://schemas.openxmlformats.org/officeDocument/2006/docPropsVTypes"/>
</file>