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21d4fa9f7b084793323b0cb319fdb07507cc79d"/>
    <w:p>
      <w:pPr>
        <w:pStyle w:val="Heading1"/>
      </w:pPr>
      <w:r>
        <w:t xml:space="preserve">Erie Indemnity (NASDAQ: ERIE) — 2Q26 Earnings Preview</w:t>
      </w:r>
    </w:p>
    <w:p>
      <w:pPr>
        <w:pStyle w:val="FirstParagraph"/>
      </w:pPr>
      <w:r>
        <w:rPr>
          <w:b/>
          <w:bCs/>
        </w:rPr>
        <w:t xml:space="preserve">Report date:</w:t>
      </w:r>
      <w:r>
        <w:t xml:space="preserve"> </w:t>
      </w:r>
      <w:r>
        <w:t xml:space="preserve">Thursday, July 30, 2026</w:t>
      </w:r>
      <w:r>
        <w:br/>
      </w:r>
      <w:r>
        <w:rPr>
          <w:b/>
          <w:bCs/>
        </w:rPr>
        <w:t xml:space="preserve">Event:</w:t>
      </w:r>
      <w:r>
        <w:t xml:space="preserve"> </w:t>
      </w:r>
      <w:r>
        <w:t xml:space="preserve">2026Q2 earnings call</w:t>
      </w:r>
      <w:r>
        <w:br/>
      </w:r>
      <w:r>
        <w:rPr>
          <w:b/>
          <w:bCs/>
        </w:rPr>
        <w:t xml:space="preserve">Bottom line:</w:t>
      </w:r>
      <w:r>
        <w:t xml:space="preserve"> </w:t>
      </w:r>
      <w:r>
        <w:t xml:space="preserve">The key issue is whether Erie Insurance Exchange’s profitability recovery can begin translating into</w:t>
      </w:r>
      <w:r>
        <w:t xml:space="preserve"> </w:t>
      </w:r>
      <w:r>
        <w:rPr>
          <w:b/>
          <w:bCs/>
        </w:rPr>
        <w:t xml:space="preserve">renewed policy growth</w:t>
      </w:r>
      <w:r>
        <w:t xml:space="preserve">—without giving back the underwriting and expense discipline that supported the first-quarter improvement. ERIE’s own reported earnings should benefit from higher premium volume and investment income, but quarterly results remain exposed to weather-driven claims at the Exchange and to variable agent-incentive expense.</w:t>
      </w:r>
    </w:p>
    <w:bookmarkStart w:id="9" w:name="what-matters-most"/>
    <w:p>
      <w:pPr>
        <w:pStyle w:val="Heading2"/>
      </w:pPr>
      <w:r>
        <w:t xml:space="preserve">What matters most</w:t>
      </w:r>
    </w:p>
    <w:p>
      <w:pPr>
        <w:pStyle w:val="FirstParagraph"/>
      </w:pPr>
      <w:r>
        <w:t xml:space="preserve">ERIE is not the primary risk-bearing insurer; it is the attorney-in-fact and manager for the Erie Insurance Exchange. Its core economics are therefore driven chiefly by:</w:t>
      </w:r>
    </w:p>
    <w:p>
      <w:pPr>
        <w:pStyle w:val="Compact"/>
        <w:numPr>
          <w:ilvl w:val="0"/>
          <w:numId w:val="1001"/>
        </w:numPr>
      </w:pPr>
      <w:r>
        <w:rPr>
          <w:b/>
          <w:bCs/>
        </w:rPr>
        <w:t xml:space="preserve">Direct and affiliated assumed written-premium growth at the Exchange</w:t>
      </w:r>
      <w:r>
        <w:t xml:space="preserve">, which determines management-fee revenue;</w:t>
      </w:r>
    </w:p>
    <w:p>
      <w:pPr>
        <w:pStyle w:val="Compact"/>
        <w:numPr>
          <w:ilvl w:val="0"/>
          <w:numId w:val="1001"/>
        </w:numPr>
      </w:pPr>
      <w:r>
        <w:rPr>
          <w:b/>
          <w:bCs/>
        </w:rPr>
        <w:t xml:space="preserve">The Exchange’s underwriting result</w:t>
      </w:r>
      <w:r>
        <w:t xml:space="preserve">, which affects agent incentive compensation and the Exchange’s financial capacity to support growth;</w:t>
      </w:r>
    </w:p>
    <w:p>
      <w:pPr>
        <w:pStyle w:val="Compact"/>
        <w:numPr>
          <w:ilvl w:val="0"/>
          <w:numId w:val="1001"/>
        </w:numPr>
      </w:pPr>
      <w:r>
        <w:rPr>
          <w:b/>
          <w:bCs/>
        </w:rPr>
        <w:t xml:space="preserve">ERIE’s operating-cost discipline</w:t>
      </w:r>
      <w:r>
        <w:t xml:space="preserve">—particularly commissions, personnel, technology, and professional fees; and</w:t>
      </w:r>
    </w:p>
    <w:p>
      <w:pPr>
        <w:pStyle w:val="Compact"/>
        <w:numPr>
          <w:ilvl w:val="0"/>
          <w:numId w:val="1001"/>
        </w:numPr>
      </w:pPr>
      <w:r>
        <w:rPr>
          <w:b/>
          <w:bCs/>
        </w:rPr>
        <w:t xml:space="preserve">Investment income</w:t>
      </w:r>
      <w:r>
        <w:t xml:space="preserve">, which has been rising as yields and invested balances improve.</w:t>
      </w:r>
    </w:p>
    <w:p>
      <w:pPr>
        <w:pStyle w:val="FirstParagraph"/>
      </w:pPr>
      <w:r>
        <w:t xml:space="preserve">The 2Q print should be viewed less as a simple EPS event and more as an update on the balance between</w:t>
      </w:r>
      <w:r>
        <w:t xml:space="preserve"> </w:t>
      </w:r>
      <w:r>
        <w:rPr>
          <w:b/>
          <w:bCs/>
        </w:rPr>
        <w:t xml:space="preserve">rate adequacy, retention, policies in force, and catastrophe losses</w:t>
      </w:r>
      <w:r>
        <w:t xml:space="preserve">.</w:t>
      </w:r>
    </w:p>
    <w:p>
      <w:r>
        <w:pict>
          <v:rect style="width:0;height:1.5pt" o:hralign="center" o:hrstd="t" o:hr="t"/>
        </w:pict>
      </w:r>
    </w:p>
    <w:bookmarkEnd w:id="9"/>
    <w:bookmarkStart w:id="10" w:name="X395639a121b96f34e18335cfb3106d346674872"/>
    <w:p>
      <w:pPr>
        <w:pStyle w:val="Heading2"/>
      </w:pPr>
      <w:r>
        <w:t xml:space="preserve">Starting point: 1Q26 showed better profitability, but slower growth</w:t>
      </w:r>
    </w:p>
    <w:p>
      <w:pPr>
        <w:pStyle w:val="FirstParagraph"/>
      </w:pPr>
      <w:r>
        <w:t xml:space="preserve">In 1Q26, the Exchange’s direct written premium increased only</w:t>
      </w:r>
      <w:r>
        <w:t xml:space="preserve"> </w:t>
      </w:r>
      <w:r>
        <w:rPr>
          <w:b/>
          <w:bCs/>
        </w:rPr>
        <w:t xml:space="preserve">3.6% year over year</w:t>
      </w:r>
      <w:r>
        <w:t xml:space="preserve">, down materially from the rate-led growth seen in 2025. Average premium per policy still rose</w:t>
      </w:r>
      <w:r>
        <w:t xml:space="preserve"> </w:t>
      </w:r>
      <w:r>
        <w:rPr>
          <w:b/>
          <w:bCs/>
        </w:rPr>
        <w:t xml:space="preserve">8.1%</w:t>
      </w:r>
      <w:r>
        <w:t xml:space="preserve">, but</w:t>
      </w:r>
      <w:r>
        <w:t xml:space="preserve"> </w:t>
      </w:r>
      <w:r>
        <w:rPr>
          <w:b/>
          <w:bCs/>
        </w:rPr>
        <w:t xml:space="preserve">policies in force declined 1.7%</w:t>
      </w:r>
      <w:r>
        <w:t xml:space="preserve"> </w:t>
      </w:r>
      <w:r>
        <w:t xml:space="preserve">and retention fell to</w:t>
      </w:r>
      <w:r>
        <w:t xml:space="preserve"> </w:t>
      </w:r>
      <w:r>
        <w:rPr>
          <w:b/>
          <w:bCs/>
        </w:rPr>
        <w:t xml:space="preserve">88.0%</w:t>
      </w:r>
      <w:r>
        <w:t xml:space="preserve">.</w:t>
      </w:r>
    </w:p>
    <w:p>
      <w:pPr>
        <w:pStyle w:val="BodyText"/>
      </w:pPr>
      <w:r>
        <w:t xml:space="preserve">That is the central tension for ERIE:</w:t>
      </w:r>
    </w:p>
    <w:p>
      <w:pPr>
        <w:pStyle w:val="Compact"/>
        <w:numPr>
          <w:ilvl w:val="0"/>
          <w:numId w:val="1002"/>
        </w:numPr>
      </w:pPr>
      <w:r>
        <w:rPr>
          <w:b/>
          <w:bCs/>
        </w:rPr>
        <w:t xml:space="preserve">Positive:</w:t>
      </w:r>
      <w:r>
        <w:t xml:space="preserve"> </w:t>
      </w:r>
      <w:r>
        <w:t xml:space="preserve">pricing is more adequate, and the Exchange’s underlying underwriting performance improved.</w:t>
      </w:r>
    </w:p>
    <w:p>
      <w:pPr>
        <w:pStyle w:val="Compact"/>
        <w:numPr>
          <w:ilvl w:val="0"/>
          <w:numId w:val="1002"/>
        </w:numPr>
      </w:pPr>
      <w:r>
        <w:rPr>
          <w:b/>
          <w:bCs/>
        </w:rPr>
        <w:t xml:space="preserve">Negative:</w:t>
      </w:r>
      <w:r>
        <w:t xml:space="preserve"> </w:t>
      </w:r>
      <w:r>
        <w:t xml:space="preserve">the higher-price environment and stronger competitive pressure are weighing on customer retention and new-business growth.</w:t>
      </w:r>
    </w:p>
    <w:p>
      <w:pPr>
        <w:pStyle w:val="FirstParagraph"/>
      </w:pPr>
      <w:r>
        <w:t xml:space="preserve">The Exchange’s 1Q26 combined ratio improved to</w:t>
      </w:r>
      <w:r>
        <w:t xml:space="preserve"> </w:t>
      </w:r>
      <w:r>
        <w:rPr>
          <w:b/>
          <w:bCs/>
        </w:rPr>
        <w:t xml:space="preserve">99.4%</w:t>
      </w:r>
      <w:r>
        <w:t xml:space="preserve"> </w:t>
      </w:r>
      <w:r>
        <w:t xml:space="preserve">from</w:t>
      </w:r>
      <w:r>
        <w:t xml:space="preserve"> </w:t>
      </w:r>
      <w:r>
        <w:rPr>
          <w:b/>
          <w:bCs/>
        </w:rPr>
        <w:t xml:space="preserve">108.1%</w:t>
      </w:r>
      <w:r>
        <w:t xml:space="preserve"> </w:t>
      </w:r>
      <w:r>
        <w:t xml:space="preserve">a year earlier. Management attributed the improvement to roughly three points of better non-catastrophe losses and nearly seven points of lower catastrophe losses. ERIE’s operating income increased</w:t>
      </w:r>
      <w:r>
        <w:t xml:space="preserve"> </w:t>
      </w:r>
      <w:r>
        <w:rPr>
          <w:b/>
          <w:bCs/>
        </w:rPr>
        <w:t xml:space="preserve">10.2%</w:t>
      </w:r>
      <w:r>
        <w:t xml:space="preserve"> </w:t>
      </w:r>
      <w:r>
        <w:t xml:space="preserve">to</w:t>
      </w:r>
      <w:r>
        <w:t xml:space="preserve"> </w:t>
      </w:r>
      <m:oMath>
        <m:r>
          <m:t>166.8</m:t>
        </m:r>
        <m:r>
          <m:t>m</m:t>
        </m:r>
        <m:r>
          <m:t>i</m:t>
        </m:r>
        <m:r>
          <m:t>l</m:t>
        </m:r>
        <m:r>
          <m:t>l</m:t>
        </m:r>
        <m:r>
          <m:t>i</m:t>
        </m:r>
        <m:r>
          <m:t>o</m:t>
        </m:r>
        <m:r>
          <m:t>n</m:t>
        </m:r>
        <m:r>
          <m:rPr>
            <m:sty m:val="p"/>
          </m:rPr>
          <m:t>*</m:t>
        </m:r>
        <m:r>
          <m:rPr>
            <m:sty m:val="p"/>
          </m:rPr>
          <m:t>*</m:t>
        </m:r>
        <m:r>
          <m:rPr>
            <m:sty m:val="p"/>
          </m:rPr>
          <m:t>,</m:t>
        </m:r>
        <m:r>
          <m:t>w</m:t>
        </m:r>
        <m:r>
          <m:t>h</m:t>
        </m:r>
        <m:r>
          <m:t>i</m:t>
        </m:r>
        <m:r>
          <m:t>l</m:t>
        </m:r>
        <m:r>
          <m:t>e</m:t>
        </m:r>
        <m:r>
          <m:t>d</m:t>
        </m:r>
        <m:r>
          <m:t>i</m:t>
        </m:r>
        <m:r>
          <m:t>l</m:t>
        </m:r>
        <m:r>
          <m:t>u</m:t>
        </m:r>
        <m:r>
          <m:t>t</m:t>
        </m:r>
        <m:r>
          <m:t>e</m:t>
        </m:r>
        <m:r>
          <m:t>d</m:t>
        </m:r>
        <m:r>
          <m:t>E</m:t>
        </m:r>
        <m:r>
          <m:t>P</m:t>
        </m:r>
        <m:r>
          <m:t>S</m:t>
        </m:r>
        <m:r>
          <m:t>r</m:t>
        </m:r>
        <m:r>
          <m:t>o</m:t>
        </m:r>
        <m:r>
          <m:t>s</m:t>
        </m:r>
        <m:r>
          <m:t>e</m:t>
        </m:r>
        <m:r>
          <m:t>t</m:t>
        </m:r>
        <m:r>
          <m:t>o</m:t>
        </m:r>
        <m:r>
          <m:rPr>
            <m:sty m:val="p"/>
          </m:rPr>
          <m:t>*</m:t>
        </m:r>
        <m:r>
          <m:rPr>
            <m:sty m:val="p"/>
          </m:rPr>
          <m:t>*</m:t>
        </m:r>
      </m:oMath>
      <w:r>
        <w:rPr>
          <w:b/>
          <w:bCs/>
        </w:rPr>
        <w:t xml:space="preserve">2.88</w:t>
      </w:r>
      <w:r>
        <w:t xml:space="preserve"> </w:t>
      </w:r>
      <w:r>
        <w:t xml:space="preserve">from</w:t>
      </w:r>
      <w:r>
        <w:t xml:space="preserve"> </w:t>
      </w:r>
      <w:r>
        <w:rPr>
          <w:b/>
          <w:bCs/>
        </w:rPr>
        <w:t xml:space="preserve">$2.65</w:t>
      </w:r>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w:t>
            </w:r>
          </w:p>
        </w:tc>
        <w:tc>
          <w:tcPr/>
          <w:p>
            <w:pPr>
              <w:pStyle w:val="Compact"/>
              <w:jc w:val="right"/>
            </w:pPr>
            <w:r>
              <w:t xml:space="preserve">Year-over-year change</w:t>
            </w:r>
          </w:p>
        </w:tc>
      </w:tr>
      <w:tr>
        <w:tc>
          <w:tcPr/>
          <w:p>
            <w:pPr>
              <w:pStyle w:val="Compact"/>
            </w:pPr>
            <w:r>
              <w:t xml:space="preserve">Exchange direct written premium growth</w:t>
            </w:r>
          </w:p>
        </w:tc>
        <w:tc>
          <w:tcPr/>
          <w:p>
            <w:pPr>
              <w:pStyle w:val="Compact"/>
              <w:jc w:val="right"/>
            </w:pPr>
            <w:r>
              <w:t xml:space="preserve">—</w:t>
            </w:r>
          </w:p>
        </w:tc>
        <w:tc>
          <w:tcPr/>
          <w:p>
            <w:pPr>
              <w:pStyle w:val="Compact"/>
              <w:jc w:val="right"/>
            </w:pPr>
            <w:r>
              <w:rPr>
                <w:b/>
                <w:bCs/>
              </w:rPr>
              <w:t xml:space="preserve">+3.6%</w:t>
            </w:r>
          </w:p>
        </w:tc>
      </w:tr>
      <w:tr>
        <w:tc>
          <w:tcPr/>
          <w:p>
            <w:pPr>
              <w:pStyle w:val="Compact"/>
            </w:pPr>
            <w:r>
              <w:t xml:space="preserve">Average premium per policy growth</w:t>
            </w:r>
          </w:p>
        </w:tc>
        <w:tc>
          <w:tcPr/>
          <w:p>
            <w:pPr>
              <w:pStyle w:val="Compact"/>
              <w:jc w:val="right"/>
            </w:pPr>
            <w:r>
              <w:t xml:space="preserve">—</w:t>
            </w:r>
          </w:p>
        </w:tc>
        <w:tc>
          <w:tcPr/>
          <w:p>
            <w:pPr>
              <w:pStyle w:val="Compact"/>
              <w:jc w:val="right"/>
            </w:pPr>
            <w:r>
              <w:rPr>
                <w:b/>
                <w:bCs/>
              </w:rPr>
              <w:t xml:space="preserve">+8.1%</w:t>
            </w:r>
          </w:p>
        </w:tc>
      </w:tr>
      <w:tr>
        <w:tc>
          <w:tcPr/>
          <w:p>
            <w:pPr>
              <w:pStyle w:val="Compact"/>
            </w:pPr>
            <w:r>
              <w:t xml:space="preserve">Policies in force</w:t>
            </w:r>
          </w:p>
        </w:tc>
        <w:tc>
          <w:tcPr/>
          <w:p>
            <w:pPr>
              <w:pStyle w:val="Compact"/>
              <w:jc w:val="right"/>
            </w:pPr>
            <w:r>
              <w:t xml:space="preserve">—</w:t>
            </w:r>
          </w:p>
        </w:tc>
        <w:tc>
          <w:tcPr/>
          <w:p>
            <w:pPr>
              <w:pStyle w:val="Compact"/>
              <w:jc w:val="right"/>
            </w:pPr>
            <w:r>
              <w:rPr>
                <w:b/>
                <w:bCs/>
              </w:rPr>
              <w:t xml:space="preserve">-1.7%</w:t>
            </w:r>
          </w:p>
        </w:tc>
      </w:tr>
      <w:tr>
        <w:tc>
          <w:tcPr/>
          <w:p>
            <w:pPr>
              <w:pStyle w:val="Compact"/>
            </w:pPr>
            <w:r>
              <w:t xml:space="preserve">Retention</w:t>
            </w:r>
          </w:p>
        </w:tc>
        <w:tc>
          <w:tcPr/>
          <w:p>
            <w:pPr>
              <w:pStyle w:val="Compact"/>
              <w:jc w:val="right"/>
            </w:pPr>
            <w:r>
              <w:rPr>
                <w:b/>
                <w:bCs/>
              </w:rPr>
              <w:t xml:space="preserve">88.0%</w:t>
            </w:r>
          </w:p>
        </w:tc>
        <w:tc>
          <w:tcPr/>
          <w:p>
            <w:pPr>
              <w:pStyle w:val="Compact"/>
              <w:jc w:val="right"/>
            </w:pPr>
            <w:r>
              <w:t xml:space="preserve">Down vs. prior year</w:t>
            </w:r>
          </w:p>
        </w:tc>
      </w:tr>
      <w:tr>
        <w:tc>
          <w:tcPr/>
          <w:p>
            <w:pPr>
              <w:pStyle w:val="Compact"/>
            </w:pPr>
            <w:r>
              <w:t xml:space="preserve">Exchange combined ratio</w:t>
            </w:r>
          </w:p>
        </w:tc>
        <w:tc>
          <w:tcPr/>
          <w:p>
            <w:pPr>
              <w:pStyle w:val="Compact"/>
              <w:jc w:val="right"/>
            </w:pPr>
            <w:r>
              <w:rPr>
                <w:b/>
                <w:bCs/>
              </w:rPr>
              <w:t xml:space="preserve">99.4%</w:t>
            </w:r>
          </w:p>
        </w:tc>
        <w:tc>
          <w:tcPr/>
          <w:p>
            <w:pPr>
              <w:pStyle w:val="Compact"/>
              <w:jc w:val="right"/>
            </w:pPr>
            <w:r>
              <w:t xml:space="preserve">108.1% in 1Q25</w:t>
            </w:r>
          </w:p>
        </w:tc>
      </w:tr>
      <w:tr>
        <w:tc>
          <w:tcPr/>
          <w:p>
            <w:pPr>
              <w:pStyle w:val="Compact"/>
            </w:pPr>
            <w:r>
              <w:t xml:space="preserve">ERIE operating income</w:t>
            </w:r>
          </w:p>
        </w:tc>
        <w:tc>
          <w:tcPr/>
          <w:p>
            <w:pPr>
              <w:pStyle w:val="Compact"/>
              <w:jc w:val="right"/>
            </w:pPr>
            <w:r>
              <w:rPr>
                <w:b/>
                <w:bCs/>
              </w:rPr>
              <w:t xml:space="preserve">$166.8M</w:t>
            </w:r>
          </w:p>
        </w:tc>
        <w:tc>
          <w:tcPr/>
          <w:p>
            <w:pPr>
              <w:pStyle w:val="Compact"/>
              <w:jc w:val="right"/>
            </w:pPr>
            <w:r>
              <w:rPr>
                <w:b/>
                <w:bCs/>
              </w:rPr>
              <w:t xml:space="preserve">+10.2%</w:t>
            </w:r>
          </w:p>
        </w:tc>
      </w:tr>
      <w:tr>
        <w:tc>
          <w:tcPr/>
          <w:p>
            <w:pPr>
              <w:pStyle w:val="Compact"/>
            </w:pPr>
            <w:r>
              <w:t xml:space="preserve">ERIE diluted EPS</w:t>
            </w:r>
          </w:p>
        </w:tc>
        <w:tc>
          <w:tcPr/>
          <w:p>
            <w:pPr>
              <w:pStyle w:val="Compact"/>
              <w:jc w:val="right"/>
            </w:pPr>
            <w:r>
              <w:rPr>
                <w:b/>
                <w:bCs/>
              </w:rPr>
              <w:t xml:space="preserve">$2.88</w:t>
            </w:r>
          </w:p>
        </w:tc>
        <w:tc>
          <w:tcPr/>
          <w:p>
            <w:pPr>
              <w:pStyle w:val="Compact"/>
              <w:jc w:val="right"/>
            </w:pPr>
            <w:r>
              <w:t xml:space="preserve">$2.65 in 1Q25</w:t>
            </w:r>
          </w:p>
        </w:tc>
      </w:tr>
    </w:tbl>
    <w:bookmarkEnd w:id="10"/>
    <w:bookmarkStart w:id="11" w:name="why-the-2q-comparison-may-look-favorable"/>
    <w:p>
      <w:pPr>
        <w:pStyle w:val="Heading2"/>
      </w:pPr>
      <w:r>
        <w:t xml:space="preserve">Why the 2Q comparison may look favorable</w:t>
      </w:r>
    </w:p>
    <w:p>
      <w:pPr>
        <w:pStyle w:val="FirstParagraph"/>
      </w:pPr>
      <w:r>
        <w:t xml:space="preserve">The year-ago quarter was heavily affected by weather. In 2Q25, the Exchange reported a</w:t>
      </w:r>
      <w:r>
        <w:t xml:space="preserve"> </w:t>
      </w:r>
      <w:r>
        <w:rPr>
          <w:b/>
          <w:bCs/>
        </w:rPr>
        <w:t xml:space="preserve">116.9% combined ratio</w:t>
      </w:r>
      <w:r>
        <w:t xml:space="preserve">, including</w:t>
      </w:r>
      <w:r>
        <w:t xml:space="preserve"> </w:t>
      </w:r>
      <w:r>
        <w:rPr>
          <w:b/>
          <w:bCs/>
        </w:rPr>
        <w:t xml:space="preserve">20.7 points of catastrophe losses</w:t>
      </w:r>
      <w:r>
        <w:t xml:space="preserve">. At the time, management noted that the underlying non-catastrophe current-accident-year loss ratio—excluding catastrophe losses and prior-year reserve development—was</w:t>
      </w:r>
      <w:r>
        <w:t xml:space="preserve"> </w:t>
      </w:r>
      <w:r>
        <w:rPr>
          <w:b/>
          <w:bCs/>
        </w:rPr>
        <w:t xml:space="preserve">94.6%</w:t>
      </w:r>
      <w:r>
        <w:t xml:space="preserve">.</w:t>
      </w:r>
    </w:p>
    <w:p>
      <w:pPr>
        <w:pStyle w:val="BodyText"/>
      </w:pPr>
      <w:r>
        <w:t xml:space="preserve">That creates a comparatively forgiving underwriting backdrop for 2Q26. If catastrophe losses were nearer historical levels and pricing continues to earn through, the Exchange’s reported combined ratio could improve sharply year over year. However, that is not a pure earnings windfall for ERIE:</w:t>
      </w:r>
    </w:p>
    <w:p>
      <w:pPr>
        <w:pStyle w:val="Compact"/>
        <w:numPr>
          <w:ilvl w:val="0"/>
          <w:numId w:val="1003"/>
        </w:numPr>
      </w:pPr>
      <w:r>
        <w:t xml:space="preserve">Better Exchange profitability can raise</w:t>
      </w:r>
      <w:r>
        <w:t xml:space="preserve"> </w:t>
      </w:r>
      <w:r>
        <w:rPr>
          <w:b/>
          <w:bCs/>
        </w:rPr>
        <w:t xml:space="preserve">agent incentive compensation</w:t>
      </w:r>
      <w:r>
        <w:t xml:space="preserve">, which was a meaningful source of ERIE expense growth in prior periods.</w:t>
      </w:r>
    </w:p>
    <w:p>
      <w:pPr>
        <w:pStyle w:val="Compact"/>
        <w:numPr>
          <w:ilvl w:val="0"/>
          <w:numId w:val="1003"/>
        </w:numPr>
      </w:pPr>
      <w:r>
        <w:t xml:space="preserve">The bigger strategic question is whether improved product competitiveness is sufficient to arrest the decline in policies in force.</w:t>
      </w:r>
    </w:p>
    <w:p>
      <w:pPr>
        <w:pStyle w:val="FirstParagraph"/>
      </w:pPr>
      <w:r>
        <w:t xml:space="preserve">For reference, ERIE reported in 2Q25:</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2Q25 reported result</w:t>
            </w:r>
          </w:p>
        </w:tc>
        <w:tc>
          <w:tcPr/>
          <w:p>
            <w:pPr>
              <w:pStyle w:val="Compact"/>
              <w:jc w:val="right"/>
            </w:pPr>
            <w:r>
              <w:t xml:space="preserve">Value</w:t>
            </w:r>
          </w:p>
        </w:tc>
      </w:tr>
      <w:tr>
        <w:tc>
          <w:tcPr/>
          <w:p>
            <w:pPr>
              <w:pStyle w:val="Compact"/>
            </w:pPr>
            <w:r>
              <w:t xml:space="preserve">Management-fee revenue — policy issuance/renewal</w:t>
            </w:r>
          </w:p>
        </w:tc>
        <w:tc>
          <w:tcPr/>
          <w:p>
            <w:pPr>
              <w:pStyle w:val="Compact"/>
              <w:jc w:val="right"/>
            </w:pPr>
            <w:r>
              <w:rPr>
                <w:b/>
                <w:bCs/>
              </w:rPr>
              <w:t xml:space="preserve">$823.9M</w:t>
            </w:r>
          </w:p>
        </w:tc>
      </w:tr>
      <w:tr>
        <w:tc>
          <w:tcPr/>
          <w:p>
            <w:pPr>
              <w:pStyle w:val="Compact"/>
            </w:pPr>
            <w:r>
              <w:t xml:space="preserve">Operating income</w:t>
            </w:r>
          </w:p>
        </w:tc>
        <w:tc>
          <w:tcPr/>
          <w:p>
            <w:pPr>
              <w:pStyle w:val="Compact"/>
              <w:jc w:val="right"/>
            </w:pPr>
            <w:r>
              <w:rPr>
                <w:b/>
                <w:bCs/>
              </w:rPr>
              <w:t xml:space="preserve">$199.2M</w:t>
            </w:r>
          </w:p>
        </w:tc>
      </w:tr>
      <w:tr>
        <w:tc>
          <w:tcPr/>
          <w:p>
            <w:pPr>
              <w:pStyle w:val="Compact"/>
            </w:pPr>
            <w:r>
              <w:t xml:space="preserve">Net income</w:t>
            </w:r>
          </w:p>
        </w:tc>
        <w:tc>
          <w:tcPr/>
          <w:p>
            <w:pPr>
              <w:pStyle w:val="Compact"/>
              <w:jc w:val="right"/>
            </w:pPr>
            <w:r>
              <w:rPr>
                <w:b/>
                <w:bCs/>
              </w:rPr>
              <w:t xml:space="preserve">$174.7M</w:t>
            </w:r>
          </w:p>
        </w:tc>
      </w:tr>
      <w:tr>
        <w:tc>
          <w:tcPr/>
          <w:p>
            <w:pPr>
              <w:pStyle w:val="Compact"/>
            </w:pPr>
            <w:r>
              <w:t xml:space="preserve">Diluted EPS</w:t>
            </w:r>
          </w:p>
        </w:tc>
        <w:tc>
          <w:tcPr/>
          <w:p>
            <w:pPr>
              <w:pStyle w:val="Compact"/>
              <w:jc w:val="right"/>
            </w:pPr>
            <w:r>
              <w:rPr>
                <w:b/>
                <w:bCs/>
              </w:rPr>
              <w:t xml:space="preserve">$3.34</w:t>
            </w:r>
          </w:p>
        </w:tc>
      </w:tr>
      <w:tr>
        <w:tc>
          <w:tcPr/>
          <w:p>
            <w:pPr>
              <w:pStyle w:val="Compact"/>
            </w:pPr>
            <w:r>
              <w:t xml:space="preserve">Exchange direct/assumed written-premium growth</w:t>
            </w:r>
          </w:p>
        </w:tc>
        <w:tc>
          <w:tcPr/>
          <w:p>
            <w:pPr>
              <w:pStyle w:val="Compact"/>
              <w:jc w:val="right"/>
            </w:pPr>
            <w:r>
              <w:rPr>
                <w:b/>
                <w:bCs/>
              </w:rPr>
              <w:t xml:space="preserve">+9.2%</w:t>
            </w:r>
          </w:p>
        </w:tc>
      </w:tr>
      <w:tr>
        <w:tc>
          <w:tcPr/>
          <w:p>
            <w:pPr>
              <w:pStyle w:val="Compact"/>
            </w:pPr>
            <w:r>
              <w:t xml:space="preserve">Exchange policies-in-force growth</w:t>
            </w:r>
          </w:p>
        </w:tc>
        <w:tc>
          <w:tcPr/>
          <w:p>
            <w:pPr>
              <w:pStyle w:val="Compact"/>
              <w:jc w:val="right"/>
            </w:pPr>
            <w:r>
              <w:rPr>
                <w:b/>
                <w:bCs/>
              </w:rPr>
              <w:t xml:space="preserve">+1.7%</w:t>
            </w:r>
          </w:p>
        </w:tc>
      </w:tr>
      <w:tr>
        <w:tc>
          <w:tcPr/>
          <w:p>
            <w:pPr>
              <w:pStyle w:val="Compact"/>
            </w:pPr>
            <w:r>
              <w:t xml:space="preserve">Exchange retention</w:t>
            </w:r>
          </w:p>
        </w:tc>
        <w:tc>
          <w:tcPr/>
          <w:p>
            <w:pPr>
              <w:pStyle w:val="Compact"/>
              <w:jc w:val="right"/>
            </w:pPr>
            <w:r>
              <w:rPr>
                <w:b/>
                <w:bCs/>
              </w:rPr>
              <w:t xml:space="preserve">89.7%</w:t>
            </w:r>
          </w:p>
        </w:tc>
      </w:tr>
      <w:tr>
        <w:tc>
          <w:tcPr/>
          <w:p>
            <w:pPr>
              <w:pStyle w:val="Compact"/>
            </w:pPr>
            <w:r>
              <w:t xml:space="preserve">Exchange combined ratio</w:t>
            </w:r>
          </w:p>
        </w:tc>
        <w:tc>
          <w:tcPr/>
          <w:p>
            <w:pPr>
              <w:pStyle w:val="Compact"/>
              <w:jc w:val="right"/>
            </w:pPr>
            <w:r>
              <w:rPr>
                <w:b/>
                <w:bCs/>
              </w:rPr>
              <w:t xml:space="preserve">116.9%</w:t>
            </w:r>
          </w:p>
        </w:tc>
      </w:tr>
    </w:tbl>
    <w:p>
      <w:pPr>
        <w:pStyle w:val="BodyText"/>
      </w:pPr>
      <w:r>
        <w:t xml:space="preserve">A key caveat: 2Q25 premium growth was still benefiting from stronger realization of the substantial rate actions taken in 2023–24. With 1Q26 premium growth at 3.6%, investors should expect a substantially slower top-line cadence unless new-product rollout and improved competitiveness have begun to materially help submissions and conversion.</w:t>
      </w:r>
    </w:p>
    <w:p>
      <w:r>
        <w:pict>
          <v:rect style="width:0;height:1.5pt" o:hralign="center" o:hrstd="t" o:hr="t"/>
        </w:pict>
      </w:r>
    </w:p>
    <w:bookmarkEnd w:id="11"/>
    <w:bookmarkStart w:id="15" w:name="the-growth-indicators-to-watch"/>
    <w:p>
      <w:pPr>
        <w:pStyle w:val="Heading2"/>
      </w:pPr>
      <w:r>
        <w:t xml:space="preserve">The growth indicators to watch</w:t>
      </w:r>
    </w:p>
    <w:bookmarkStart w:id="12" w:name="X5713290060af6e94f60eacf2cbbd9228100e8f3"/>
    <w:p>
      <w:pPr>
        <w:pStyle w:val="Heading3"/>
      </w:pPr>
      <w:r>
        <w:t xml:space="preserve">1. Policies in force and retention</w:t>
      </w:r>
    </w:p>
    <w:p>
      <w:pPr>
        <w:pStyle w:val="FirstParagraph"/>
      </w:pPr>
      <w:r>
        <w:t xml:space="preserve">These are likely the most important indicators in the release. Another sequential or year-over-year deterioration in policies in force would reinforce the concern that ERIE’s prior pricing actions have reached the point of constraining volume. Stabilization—even with modest premium growth—would be constructive.</w:t>
      </w:r>
    </w:p>
    <w:bookmarkEnd w:id="12"/>
    <w:bookmarkStart w:id="13" w:name="X3cb064d6376e517642b71d258e2156ab2bd4b12"/>
    <w:p>
      <w:pPr>
        <w:pStyle w:val="Heading3"/>
      </w:pPr>
      <w:r>
        <w:t xml:space="preserve">2. Erie Secure Auto rollout</w:t>
      </w:r>
    </w:p>
    <w:p>
      <w:pPr>
        <w:pStyle w:val="FirstParagraph"/>
      </w:pPr>
      <w:r>
        <w:t xml:space="preserve">Management said in April that Erie Secure Auto had produced favorable early effects on submissions and premium in Ohio and had expanded to Virginia and West Virginia. It planned deployment in four more states during the second quarter, with further expansion through the remainder of 2026.</w:t>
      </w:r>
    </w:p>
    <w:p>
      <w:pPr>
        <w:pStyle w:val="BodyText"/>
      </w:pPr>
      <w:r>
        <w:t xml:space="preserve">Investors should look for specifics on:</w:t>
      </w:r>
    </w:p>
    <w:p>
      <w:pPr>
        <w:pStyle w:val="Compact"/>
        <w:numPr>
          <w:ilvl w:val="0"/>
          <w:numId w:val="1004"/>
        </w:numPr>
      </w:pPr>
      <w:r>
        <w:t xml:space="preserve">States launched during 2Q;</w:t>
      </w:r>
    </w:p>
    <w:p>
      <w:pPr>
        <w:pStyle w:val="Compact"/>
        <w:numPr>
          <w:ilvl w:val="0"/>
          <w:numId w:val="1004"/>
        </w:numPr>
      </w:pPr>
      <w:r>
        <w:t xml:space="preserve">Submission, quote, and conversion trends;</w:t>
      </w:r>
    </w:p>
    <w:p>
      <w:pPr>
        <w:pStyle w:val="Compact"/>
        <w:numPr>
          <w:ilvl w:val="0"/>
          <w:numId w:val="1004"/>
        </w:numPr>
      </w:pPr>
      <w:r>
        <w:t xml:space="preserve">Whether the product is helping new-business growth without compromising target margins; and</w:t>
      </w:r>
    </w:p>
    <w:p>
      <w:pPr>
        <w:pStyle w:val="Compact"/>
        <w:numPr>
          <w:ilvl w:val="0"/>
          <w:numId w:val="1004"/>
        </w:numPr>
      </w:pPr>
      <w:r>
        <w:t xml:space="preserve">Timing for broader footprint coverage.</w:t>
      </w:r>
    </w:p>
    <w:p>
      <w:pPr>
        <w:pStyle w:val="FirstParagraph"/>
      </w:pPr>
      <w:r>
        <w:t xml:space="preserve">The product is strategically important because ERIE needs a pathway to improve competitiveness while preserving its underwriting discipline.</w:t>
      </w:r>
    </w:p>
    <w:bookmarkEnd w:id="13"/>
    <w:bookmarkStart w:id="14" w:name="X7bb6cb6542621fd5668650ce4d5e222bec90ca4"/>
    <w:p>
      <w:pPr>
        <w:pStyle w:val="Heading3"/>
      </w:pPr>
      <w:r>
        <w:t xml:space="preserve">3. Commercial-lines modernization</w:t>
      </w:r>
    </w:p>
    <w:p>
      <w:pPr>
        <w:pStyle w:val="FirstParagraph"/>
      </w:pPr>
      <w:r>
        <w:t xml:space="preserve">Business Auto 2.0 had expanded across all but New York by the end of 1Q. Completion of the rollout and any evidence of better agent experience, quote throughput, or underwriting consistency would support the longer-term growth case.</w:t>
      </w:r>
    </w:p>
    <w:p>
      <w:r>
        <w:pict>
          <v:rect style="width:0;height:1.5pt" o:hralign="center" o:hrstd="t" o:hr="t"/>
        </w:pict>
      </w:r>
    </w:p>
    <w:bookmarkEnd w:id="14"/>
    <w:bookmarkEnd w:id="15"/>
    <w:bookmarkStart w:id="16" w:name="expense-and-margin-setup"/>
    <w:p>
      <w:pPr>
        <w:pStyle w:val="Heading2"/>
      </w:pPr>
      <w:r>
        <w:t xml:space="preserve">Expense and margin setup</w:t>
      </w:r>
    </w:p>
    <w:p>
      <w:pPr>
        <w:pStyle w:val="FirstParagraph"/>
      </w:pPr>
      <w:r>
        <w:t xml:space="preserve">ERIE’s first-quarter expenses were unusually well controlled: policy issuance and renewal costs rose</w:t>
      </w:r>
      <w:r>
        <w:t xml:space="preserve"> </w:t>
      </w:r>
      <w:r>
        <w:rPr>
          <w:b/>
          <w:bCs/>
        </w:rPr>
        <w:t xml:space="preserve">2.8%</w:t>
      </w:r>
      <w:r>
        <w:t xml:space="preserve">, below management-fee revenue growth of</w:t>
      </w:r>
      <w:r>
        <w:t xml:space="preserve"> </w:t>
      </w:r>
      <w:r>
        <w:rPr>
          <w:b/>
          <w:bCs/>
        </w:rPr>
        <w:t xml:space="preserve">4.2%</w:t>
      </w:r>
      <w:r>
        <w:t xml:space="preserve">. Non-commission expense declined</w:t>
      </w:r>
      <w:r>
        <w:t xml:space="preserve"> </w:t>
      </w:r>
      <w:r>
        <w:rPr>
          <w:b/>
          <w:bCs/>
        </w:rPr>
        <w:t xml:space="preserve">5.6%</w:t>
      </w:r>
      <w:r>
        <w:t xml:space="preserve">, helped notably by lower third-party technology-related professional fees.</w:t>
      </w:r>
    </w:p>
    <w:p>
      <w:pPr>
        <w:pStyle w:val="BodyText"/>
      </w:pPr>
      <w:r>
        <w:t xml:space="preserve">The question for 2Q is whether that favorable cost profile persists. Watch:</w:t>
      </w:r>
    </w:p>
    <w:p>
      <w:pPr>
        <w:pStyle w:val="Compact"/>
        <w:numPr>
          <w:ilvl w:val="0"/>
          <w:numId w:val="1005"/>
        </w:numPr>
      </w:pPr>
      <w:r>
        <w:rPr>
          <w:b/>
          <w:bCs/>
        </w:rPr>
        <w:t xml:space="preserve">Commissions and agent incentive compensation:</w:t>
      </w:r>
      <w:r>
        <w:t xml:space="preserve"> </w:t>
      </w:r>
      <w:r>
        <w:t xml:space="preserve">Higher Exchange profitability is favorable strategically, but it can lift ERIE’s incentive expense.</w:t>
      </w:r>
    </w:p>
    <w:p>
      <w:pPr>
        <w:pStyle w:val="Compact"/>
        <w:numPr>
          <w:ilvl w:val="0"/>
          <w:numId w:val="1005"/>
        </w:numPr>
      </w:pPr>
      <w:r>
        <w:rPr>
          <w:b/>
          <w:bCs/>
        </w:rPr>
        <w:t xml:space="preserve">Technology and modernization spending:</w:t>
      </w:r>
      <w:r>
        <w:t xml:space="preserve"> </w:t>
      </w:r>
      <w:r>
        <w:t xml:space="preserve">ERIE is still migrating legacy systems and developing digital quoting capabilities. This can be a source of expense pressure, capital spending, and execution risk.</w:t>
      </w:r>
    </w:p>
    <w:p>
      <w:pPr>
        <w:pStyle w:val="Compact"/>
        <w:numPr>
          <w:ilvl w:val="0"/>
          <w:numId w:val="1005"/>
        </w:numPr>
      </w:pPr>
      <w:r>
        <w:rPr>
          <w:b/>
          <w:bCs/>
        </w:rPr>
        <w:t xml:space="preserve">Personnel and pension costs:</w:t>
      </w:r>
      <w:r>
        <w:t xml:space="preserve"> </w:t>
      </w:r>
      <w:r>
        <w:t xml:space="preserve">These rose in 1Q, partially offsetting other expense reductions.</w:t>
      </w:r>
    </w:p>
    <w:p>
      <w:pPr>
        <w:pStyle w:val="Compact"/>
        <w:numPr>
          <w:ilvl w:val="0"/>
          <w:numId w:val="1005"/>
        </w:numPr>
      </w:pPr>
      <w:r>
        <w:rPr>
          <w:b/>
          <w:bCs/>
        </w:rPr>
        <w:t xml:space="preserve">Professional fees:</w:t>
      </w:r>
      <w:r>
        <w:t xml:space="preserve"> </w:t>
      </w:r>
      <w:r>
        <w:t xml:space="preserve">A repeat of 1Q’s lower level would help margins, but investors should be cautious about annualizing one quarter’s savings.</w:t>
      </w:r>
    </w:p>
    <w:p>
      <w:pPr>
        <w:pStyle w:val="FirstParagraph"/>
      </w:pPr>
      <w:r>
        <w:t xml:space="preserve">ERIE’s 2Q25 operating-income growth was only about 5%, even as revenue expanded, because commissions, information-technology spending, sales and advertising, and health-care-related personnel expense were higher. The 2Q26 margin outcome will reveal whether 1Q’s positive operating leverage was durable.</w:t>
      </w:r>
    </w:p>
    <w:p>
      <w:r>
        <w:pict>
          <v:rect style="width:0;height:1.5pt" o:hralign="center" o:hrstd="t" o:hr="t"/>
        </w:pict>
      </w:r>
    </w:p>
    <w:bookmarkEnd w:id="16"/>
    <w:bookmarkStart w:id="17" w:name="X1c094261bae0c0a370b3c2c0f0b8cdbce162e42"/>
    <w:p>
      <w:pPr>
        <w:pStyle w:val="Heading2"/>
      </w:pPr>
      <w:r>
        <w:t xml:space="preserve">Investment income: a supportive, lower-volatility tailwind</w:t>
      </w:r>
    </w:p>
    <w:p>
      <w:pPr>
        <w:pStyle w:val="FirstParagraph"/>
      </w:pPr>
      <w:r>
        <w:t xml:space="preserve">Net investment income increased to</w:t>
      </w:r>
      <w:r>
        <w:t xml:space="preserve"> </w:t>
      </w:r>
      <m:oMath>
        <m:r>
          <m:t>23.6</m:t>
        </m:r>
        <m:r>
          <m:t>m</m:t>
        </m:r>
        <m:r>
          <m:t>i</m:t>
        </m:r>
        <m:r>
          <m:t>l</m:t>
        </m:r>
        <m:r>
          <m:t>l</m:t>
        </m:r>
        <m:r>
          <m:t>i</m:t>
        </m:r>
        <m:r>
          <m:t>o</m:t>
        </m:r>
        <m:r>
          <m:t>n</m:t>
        </m:r>
        <m:r>
          <m:rPr>
            <m:sty m:val="p"/>
          </m:rPr>
          <m:t>*</m:t>
        </m:r>
        <m:r>
          <m:rPr>
            <m:sty m:val="p"/>
          </m:rPr>
          <m:t>*</m:t>
        </m:r>
        <m:r>
          <m:t>i</m:t>
        </m:r>
        <m:r>
          <m:t>n</m:t>
        </m:r>
        <m:r>
          <m:t>1</m:t>
        </m:r>
        <m:r>
          <m:t>Q</m:t>
        </m:r>
        <m:r>
          <m:t>26</m:t>
        </m:r>
        <m:r>
          <m:t>f</m:t>
        </m:r>
        <m:r>
          <m:t>r</m:t>
        </m:r>
        <m:r>
          <m:t>o</m:t>
        </m:r>
        <m:r>
          <m:t>m</m:t>
        </m:r>
        <m:r>
          <m:rPr>
            <m:sty m:val="p"/>
          </m:rPr>
          <m:t>*</m:t>
        </m:r>
        <m:r>
          <m:rPr>
            <m:sty m:val="p"/>
          </m:rPr>
          <m:t>*</m:t>
        </m:r>
      </m:oMath>
      <w:r>
        <w:rPr>
          <w:b/>
          <w:bCs/>
        </w:rPr>
        <w:t xml:space="preserve">19.9 million</w:t>
      </w:r>
      <w:r>
        <w:t xml:space="preserve"> </w:t>
      </w:r>
      <w:r>
        <w:t xml:space="preserve">in 1Q25, principally due to higher yields and invested balances. This should remain a constructive earnings contributor in 2Q, although realized and unrealized gains or losses can make total investment income more variable quarter to quarter.</w:t>
      </w:r>
    </w:p>
    <w:p>
      <w:pPr>
        <w:pStyle w:val="BodyText"/>
      </w:pPr>
      <w:r>
        <w:t xml:space="preserve">Investment income is not the primary reason to own ERIE, but it provides useful support while premium growth normalizes and the Exchange works through its underwriting recovery.</w:t>
      </w:r>
    </w:p>
    <w:p>
      <w:r>
        <w:pict>
          <v:rect style="width:0;height:1.5pt" o:hralign="center" o:hrstd="t" o:hr="t"/>
        </w:pict>
      </w:r>
    </w:p>
    <w:bookmarkEnd w:id="17"/>
    <w:bookmarkStart w:id="18" w:name="capital-dividend-and-governance"/>
    <w:p>
      <w:pPr>
        <w:pStyle w:val="Heading2"/>
      </w:pPr>
      <w:r>
        <w:t xml:space="preserve">Capital, dividend, and governance</w:t>
      </w:r>
    </w:p>
    <w:p>
      <w:pPr>
        <w:pStyle w:val="FirstParagraph"/>
      </w:pPr>
      <w:r>
        <w:t xml:space="preserve">The Exchange ended 1Q with approximately</w:t>
      </w:r>
      <w:r>
        <w:t xml:space="preserve"> </w:t>
      </w:r>
      <w:r>
        <w:rPr>
          <w:b/>
          <w:bCs/>
        </w:rPr>
        <w:t xml:space="preserve">$10.1 billion of policyholder surplus</w:t>
      </w:r>
      <w:r>
        <w:t xml:space="preserve">, unchanged from year-end 2025. That capital strength is important: it supports the independent-agent model, customer confidence, and the ability to sustain underwriting volatility.</w:t>
      </w:r>
    </w:p>
    <w:p>
      <w:pPr>
        <w:pStyle w:val="BodyText"/>
      </w:pPr>
      <w:r>
        <w:t xml:space="preserve">ERIE also raised its quarterly dividend by</w:t>
      </w:r>
      <w:r>
        <w:t xml:space="preserve"> </w:t>
      </w:r>
      <w:r>
        <w:rPr>
          <w:b/>
          <w:bCs/>
        </w:rPr>
        <w:t xml:space="preserve">7.1%</w:t>
      </w:r>
      <w:r>
        <w:t xml:space="preserve"> </w:t>
      </w:r>
      <w:r>
        <w:t xml:space="preserve">for 2026. Its reported 1Q dividend was</w:t>
      </w:r>
      <w:r>
        <w:t xml:space="preserve"> </w:t>
      </w:r>
      <w:r>
        <w:rPr>
          <w:b/>
          <w:bCs/>
        </w:rPr>
        <w:t xml:space="preserve">$1.4625 per Class A share</w:t>
      </w:r>
      <w:r>
        <w:t xml:space="preserve">. The dividend remains a positive part of the equity story, although its sustainability ultimately depends on durable premium growth and the Exchange’s financial health.</w:t>
      </w:r>
    </w:p>
    <w:p>
      <w:pPr>
        <w:pStyle w:val="BodyText"/>
      </w:pPr>
      <w:r>
        <w:t xml:space="preserve">Separately, CEO Tim NeCastro has stated that he intends to retire at the end of</w:t>
      </w:r>
      <w:r>
        <w:t xml:space="preserve"> </w:t>
      </w:r>
      <w:r>
        <w:rPr>
          <w:b/>
          <w:bCs/>
        </w:rPr>
        <w:t xml:space="preserve">2026</w:t>
      </w:r>
      <w:r>
        <w:t xml:space="preserve">. A substantive succession update is not necessarily expected this quarter, but leadership-transition planning is an issue investors should continue to monitor.</w:t>
      </w:r>
    </w:p>
    <w:p>
      <w:r>
        <w:pict>
          <v:rect style="width:0;height:1.5pt" o:hralign="center" o:hrstd="t" o:hr="t"/>
        </w:pict>
      </w:r>
    </w:p>
    <w:bookmarkEnd w:id="18"/>
    <w:bookmarkStart w:id="19" w:name="stock-setup"/>
    <w:p>
      <w:pPr>
        <w:pStyle w:val="Heading2"/>
      </w:pPr>
      <w:r>
        <w:t xml:space="preserve">Stock setup</w:t>
      </w:r>
    </w:p>
    <w:p>
      <w:pPr>
        <w:pStyle w:val="FirstParagraph"/>
      </w:pPr>
      <w:r>
        <w:t xml:space="preserve">ERIE closed at</w:t>
      </w:r>
      <w:r>
        <w:t xml:space="preserve"> </w:t>
      </w:r>
      <w:r>
        <w:rPr>
          <w:b/>
          <w:bCs/>
        </w:rPr>
        <w:t xml:space="preserve">$246.13 on July 29, 2026</w:t>
      </w:r>
      <w:r>
        <w:t xml:space="preserve">, down about</w:t>
      </w:r>
      <w:r>
        <w:t xml:space="preserve"> </w:t>
      </w:r>
      <w:r>
        <w:rPr>
          <w:b/>
          <w:bCs/>
        </w:rPr>
        <w:t xml:space="preserve">14.1%</w:t>
      </w:r>
      <w:r>
        <w:t xml:space="preserve"> </w:t>
      </w:r>
      <w:r>
        <w:t xml:space="preserve">from its December 31, 2025 close of $286.65, though it had recovered roughly</w:t>
      </w:r>
      <w:r>
        <w:t xml:space="preserve"> </w:t>
      </w:r>
      <w:r>
        <w:rPr>
          <w:b/>
          <w:bCs/>
        </w:rPr>
        <w:t xml:space="preserve">17.1%</w:t>
      </w:r>
      <w:r>
        <w:t xml:space="preserve"> </w:t>
      </w:r>
      <w:r>
        <w:t xml:space="preserve">from its July 15 low of $210.19.</w:t>
      </w:r>
    </w:p>
    <w:p>
      <w:pPr>
        <w:pStyle w:val="BodyText"/>
      </w:pPr>
      <w:r>
        <w:t xml:space="preserve">The recent share-price volatility suggests investors are likely focused on more than reported EPS: the market will want evidence that ERIE can turn improving underwriting economics into sustainable premium and policy growth.</w:t>
      </w:r>
    </w:p>
    <w:p>
      <w:r>
        <w:pict>
          <v:rect style="width:0;height:1.5pt" o:hralign="center" o:hrstd="t" o:hr="t"/>
        </w:pict>
      </w:r>
    </w:p>
    <w:bookmarkEnd w:id="19"/>
    <w:bookmarkStart w:id="20" w:name="what-would-make-the-report-bullish"/>
    <w:p>
      <w:pPr>
        <w:pStyle w:val="Heading2"/>
      </w:pPr>
      <w:r>
        <w:t xml:space="preserve">What would make the report bullish?</w:t>
      </w:r>
    </w:p>
    <w:p>
      <w:pPr>
        <w:pStyle w:val="Compact"/>
        <w:numPr>
          <w:ilvl w:val="0"/>
          <w:numId w:val="1006"/>
        </w:numPr>
      </w:pPr>
      <w:r>
        <w:t xml:space="preserve">Direct written-premium growth stabilizes or reaccelerates from 1Q’s</w:t>
      </w:r>
      <w:r>
        <w:t xml:space="preserve"> </w:t>
      </w:r>
      <w:r>
        <w:rPr>
          <w:b/>
          <w:bCs/>
        </w:rPr>
        <w:t xml:space="preserve">3.6%</w:t>
      </w:r>
      <w:r>
        <w:t xml:space="preserve"> </w:t>
      </w:r>
      <w:r>
        <w:t xml:space="preserve">pace.</w:t>
      </w:r>
    </w:p>
    <w:p>
      <w:pPr>
        <w:pStyle w:val="Compact"/>
        <w:numPr>
          <w:ilvl w:val="0"/>
          <w:numId w:val="1006"/>
        </w:numPr>
      </w:pPr>
      <w:r>
        <w:t xml:space="preserve">Policies in force stop declining and retention holds near or above the 1Q</w:t>
      </w:r>
      <w:r>
        <w:t xml:space="preserve"> </w:t>
      </w:r>
      <w:r>
        <w:rPr>
          <w:b/>
          <w:bCs/>
        </w:rPr>
        <w:t xml:space="preserve">88%</w:t>
      </w:r>
      <w:r>
        <w:t xml:space="preserve"> </w:t>
      </w:r>
      <w:r>
        <w:t xml:space="preserve">level.</w:t>
      </w:r>
    </w:p>
    <w:p>
      <w:pPr>
        <w:pStyle w:val="Compact"/>
        <w:numPr>
          <w:ilvl w:val="0"/>
          <w:numId w:val="1006"/>
        </w:numPr>
      </w:pPr>
      <w:r>
        <w:t xml:space="preserve">Erie Secure Auto rollout shows tangible traction in submissions, conversion, or new written premium.</w:t>
      </w:r>
    </w:p>
    <w:p>
      <w:pPr>
        <w:pStyle w:val="Compact"/>
        <w:numPr>
          <w:ilvl w:val="0"/>
          <w:numId w:val="1006"/>
        </w:numPr>
      </w:pPr>
      <w:r>
        <w:t xml:space="preserve">The Exchange delivers a much lower combined ratio than the catastrophe-heavy 2Q25 result while maintaining favorable underlying loss trends.</w:t>
      </w:r>
    </w:p>
    <w:p>
      <w:pPr>
        <w:pStyle w:val="Compact"/>
        <w:numPr>
          <w:ilvl w:val="0"/>
          <w:numId w:val="1006"/>
        </w:numPr>
      </w:pPr>
      <w:r>
        <w:t xml:space="preserve">ERIE retains positive operating leverage despite potentially higher incentive compensation.</w:t>
      </w:r>
    </w:p>
    <w:p>
      <w:pPr>
        <w:pStyle w:val="Compact"/>
        <w:numPr>
          <w:ilvl w:val="0"/>
          <w:numId w:val="1006"/>
        </w:numPr>
      </w:pPr>
      <w:r>
        <w:t xml:space="preserve">Investment income remains on an upward trajectory.</w:t>
      </w:r>
    </w:p>
    <w:bookmarkEnd w:id="20"/>
    <w:bookmarkStart w:id="21" w:name="what-would-make-the-report-bearish"/>
    <w:p>
      <w:pPr>
        <w:pStyle w:val="Heading2"/>
      </w:pPr>
      <w:r>
        <w:t xml:space="preserve">What would make the report bearish?</w:t>
      </w:r>
    </w:p>
    <w:p>
      <w:pPr>
        <w:pStyle w:val="Compact"/>
        <w:numPr>
          <w:ilvl w:val="0"/>
          <w:numId w:val="1007"/>
        </w:numPr>
      </w:pPr>
      <w:r>
        <w:t xml:space="preserve">Premium growth slows further, especially if rate-driven average-premium growth no longer offsets declining exposure count.</w:t>
      </w:r>
    </w:p>
    <w:p>
      <w:pPr>
        <w:pStyle w:val="Compact"/>
        <w:numPr>
          <w:ilvl w:val="0"/>
          <w:numId w:val="1007"/>
        </w:numPr>
      </w:pPr>
      <w:r>
        <w:t xml:space="preserve">Retention or policies in force deteriorate further, signaling continuing competitiveness issues.</w:t>
      </w:r>
    </w:p>
    <w:p>
      <w:pPr>
        <w:pStyle w:val="Compact"/>
        <w:numPr>
          <w:ilvl w:val="0"/>
          <w:numId w:val="1007"/>
        </w:numPr>
      </w:pPr>
      <w:r>
        <w:t xml:space="preserve">Catastrophe activity or unfavorable reserve development offsets the benefit of better rate adequacy.</w:t>
      </w:r>
    </w:p>
    <w:p>
      <w:pPr>
        <w:pStyle w:val="Compact"/>
        <w:numPr>
          <w:ilvl w:val="0"/>
          <w:numId w:val="1007"/>
        </w:numPr>
      </w:pPr>
      <w:r>
        <w:t xml:space="preserve">Agent incentives, technology costs, or personnel expenses absorb most of the revenue and underwriting improvement.</w:t>
      </w:r>
    </w:p>
    <w:p>
      <w:pPr>
        <w:pStyle w:val="Compact"/>
        <w:numPr>
          <w:ilvl w:val="0"/>
          <w:numId w:val="1007"/>
        </w:numPr>
      </w:pPr>
      <w:r>
        <w:t xml:space="preserve">Management provides limited evidence that new auto and digital-quote products are improving new-business momentum.</w:t>
      </w:r>
    </w:p>
    <w:bookmarkEnd w:id="21"/>
    <w:bookmarkStart w:id="22" w:name="key-takeaway"/>
    <w:p>
      <w:pPr>
        <w:pStyle w:val="Heading2"/>
      </w:pPr>
      <w:r>
        <w:t xml:space="preserve">Key takeaway</w:t>
      </w:r>
    </w:p>
    <w:p>
      <w:pPr>
        <w:pStyle w:val="FirstParagraph"/>
      </w:pPr>
      <w:r>
        <w:rPr>
          <w:b/>
          <w:bCs/>
        </w:rPr>
        <w:t xml:space="preserve">The core 2Q26 debate is growth quality, not just earnings growth.</w:t>
      </w:r>
      <w:r>
        <w:t xml:space="preserve"> </w:t>
      </w:r>
      <w:r>
        <w:t xml:space="preserve">ERIE should face an easier underwriting comparison after 2Q25’s severe catastrophe losses, and its own investment income and cost control provide support. But the investment case will strengthen meaningfully only if management can show that Erie Secure Auto, Business Auto 2.0, and digital distribution tools are beginning to improve policy growth and retention—without sacrificing the pricing and underwriting discipline that has been restoring Exchange profitability.</w:t>
      </w:r>
    </w:p>
    <w:p>
      <w:pPr>
        <w:pStyle w:val="BodyText"/>
      </w:pPr>
      <w:r>
        <w:rPr>
          <w:i/>
          <w:iCs/>
        </w:rPr>
        <w:t xml:space="preserve">Sources: Erie Indemnity 1Q26 earnings release, 1Q26 Form 10-Q, 1Q26 earnings-call transcript, 2Q25 earnings release and transcript, 4Q25 earnings-call transcript, and historical share-price data.</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2026-07-29T19:47:44Z</dcterms:created>
  <dcterms:modified xsi:type="dcterms:W3CDTF">2026-07-29T19:47:44Z</dcterms:modified>
</cp:coreProperties>
</file>

<file path=docProps/custom.xml><?xml version="1.0" encoding="utf-8"?>
<Properties xmlns="http://schemas.openxmlformats.org/officeDocument/2006/custom-properties" xmlns:vt="http://schemas.openxmlformats.org/officeDocument/2006/docPropsVTypes"/>
</file>