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Erie Indemnity Company (ERIE) — Q2 2026 Earnings Preview</w:t>
      </w:r>
    </w:p>
    <w:tbl>
      <w:tblPr>
        <w:tblStyle w:val="TableGrid"/>
        <w:tblW w:type="auto" w:w="0"/>
        <w:tblLook w:firstColumn="1" w:firstRow="1" w:lastColumn="0" w:lastRow="0" w:noHBand="0" w:noVBand="1" w:val="04A0"/>
      </w:tblPr>
      <w:tblGrid>
        <w:gridCol w:w="4320"/>
        <w:gridCol w:w="4320"/>
      </w:tblGrid>
      <w:tr>
        <w:tc>
          <w:tcPr>
            <w:tcW w:type="dxa" w:w="4320"/>
          </w:tcPr>
          <w:p>
            <w:r>
              <w:rPr>
                <w:rFonts w:ascii="Calibri" w:hAnsi="Calibri"/>
                <w:b/>
                <w:sz w:val="22"/>
              </w:rPr>
              <w:t>Company</w:t>
            </w:r>
          </w:p>
        </w:tc>
        <w:tc>
          <w:tcPr>
            <w:tcW w:type="dxa" w:w="4320"/>
          </w:tcPr>
          <w:p>
            <w:r>
              <w:rPr>
                <w:rFonts w:ascii="Calibri" w:hAnsi="Calibri"/>
                <w:sz w:val="22"/>
              </w:rPr>
              <w:t>Erie Indemnity Company</w:t>
            </w:r>
          </w:p>
        </w:tc>
      </w:tr>
      <w:tr>
        <w:tc>
          <w:tcPr>
            <w:tcW w:type="dxa" w:w="4320"/>
          </w:tcPr>
          <w:p>
            <w:r>
              <w:rPr>
                <w:rFonts w:ascii="Calibri" w:hAnsi="Calibri"/>
                <w:b/>
                <w:sz w:val="22"/>
              </w:rPr>
              <w:t>Ticker</w:t>
            </w:r>
          </w:p>
        </w:tc>
        <w:tc>
          <w:tcPr>
            <w:tcW w:type="dxa" w:w="4320"/>
          </w:tcPr>
          <w:p>
            <w:r>
              <w:rPr>
                <w:rFonts w:ascii="Calibri" w:hAnsi="Calibri"/>
                <w:sz w:val="22"/>
              </w:rPr>
              <w:t>NASDAQ: ERIE</w:t>
            </w:r>
          </w:p>
        </w:tc>
      </w:tr>
      <w:tr>
        <w:tc>
          <w:tcPr>
            <w:tcW w:type="dxa" w:w="4320"/>
          </w:tcPr>
          <w:p>
            <w:r>
              <w:rPr>
                <w:rFonts w:ascii="Calibri" w:hAnsi="Calibri"/>
                <w:b/>
                <w:sz w:val="22"/>
              </w:rPr>
              <w:t>Reporting Period</w:t>
            </w:r>
          </w:p>
        </w:tc>
        <w:tc>
          <w:tcPr>
            <w:tcW w:type="dxa" w:w="4320"/>
          </w:tcPr>
          <w:p>
            <w:r>
              <w:rPr>
                <w:rFonts w:ascii="Calibri" w:hAnsi="Calibri"/>
                <w:sz w:val="22"/>
              </w:rPr>
              <w:t>Q2 2026 (Second Quarter, Fiscal Year 2026)</w:t>
            </w:r>
          </w:p>
        </w:tc>
      </w:tr>
      <w:tr>
        <w:tc>
          <w:tcPr>
            <w:tcW w:type="dxa" w:w="4320"/>
          </w:tcPr>
          <w:p>
            <w:r>
              <w:rPr>
                <w:rFonts w:ascii="Calibri" w:hAnsi="Calibri"/>
                <w:b/>
                <w:sz w:val="22"/>
              </w:rPr>
              <w:t>Upcoming Earnings Date</w:t>
            </w:r>
          </w:p>
        </w:tc>
        <w:tc>
          <w:tcPr>
            <w:tcW w:type="dxa" w:w="4320"/>
          </w:tcPr>
          <w:p>
            <w:r>
              <w:rPr>
                <w:rFonts w:ascii="Calibri" w:hAnsi="Calibri"/>
                <w:sz w:val="22"/>
              </w:rPr>
              <w:t>July 30, 2026 — After Market Close</w:t>
            </w:r>
          </w:p>
        </w:tc>
      </w:tr>
      <w:tr>
        <w:tc>
          <w:tcPr>
            <w:tcW w:type="dxa" w:w="4320"/>
          </w:tcPr>
          <w:p>
            <w:r>
              <w:rPr>
                <w:rFonts w:ascii="Calibri" w:hAnsi="Calibri"/>
                <w:b/>
                <w:sz w:val="22"/>
              </w:rPr>
              <w:t>Last Earnings Date</w:t>
            </w:r>
          </w:p>
        </w:tc>
        <w:tc>
          <w:tcPr>
            <w:tcW w:type="dxa" w:w="4320"/>
          </w:tcPr>
          <w:p>
            <w:r>
              <w:rPr>
                <w:rFonts w:ascii="Calibri" w:hAnsi="Calibri"/>
                <w:sz w:val="22"/>
              </w:rPr>
              <w:t>April 23, 2026 (Q1 2026)</w:t>
            </w:r>
          </w:p>
        </w:tc>
      </w:tr>
      <w:tr>
        <w:tc>
          <w:tcPr>
            <w:tcW w:type="dxa" w:w="4320"/>
          </w:tcPr>
          <w:p>
            <w:r>
              <w:rPr>
                <w:rFonts w:ascii="Calibri" w:hAnsi="Calibri"/>
                <w:b/>
                <w:sz w:val="22"/>
              </w:rPr>
              <w:t>Prepared Date</w:t>
            </w:r>
          </w:p>
        </w:tc>
        <w:tc>
          <w:tcPr>
            <w:tcW w:type="dxa" w:w="4320"/>
          </w:tcPr>
          <w:p>
            <w:r>
              <w:rPr>
                <w:rFonts w:ascii="Calibri" w:hAnsi="Calibri"/>
                <w:sz w:val="22"/>
              </w:rPr>
              <w:t>July 29, 2026</w:t>
            </w:r>
          </w:p>
        </w:tc>
      </w:tr>
    </w:tbl>
    <w:p>
      <w:r>
        <w:br w:type="page"/>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2026 is mixed-to-cautious — consensus EPS of $3.35 is barely above the $3.34 reported a year ago, setting a low absolute bar, but ERIE has missed in three of its last four quarters and the key swing factor is whether the Exchange combined ratio continues its improvement trajectory amid a highly competitive personal lines market.</w:t>
      </w:r>
    </w:p>
    <w:p>
      <w:r>
        <w:rPr>
          <w:rFonts w:ascii="Calibri" w:hAnsi="Calibri"/>
          <w:color w:val="525866"/>
          <w:sz w:val="22"/>
        </w:rPr>
        <w:t xml:space="preserve">Heading into Q2 2026, the bar for ERIE is technically low — Wall Street expects diluted EPS of $3.35, essentially flat with the $3.34 reported in Q2 2025, a quarter that itself was burdened by a 116.9% combined ratio driven by 20.7 points of catastrophe losses. </w:t>
      </w:r>
      <w:r>
        <w:rPr>
          <w:rFonts w:ascii="Calibri" w:hAnsi="Calibri"/>
          <w:color w:val="525866"/>
          <w:sz w:val="22"/>
        </w:rPr>
        <w:t xml:space="preserve">The critical question is whether Q2 2026 catastrophe losses normalize relative to that historically elevated prior-year period, which would mechanically drive a significant combined ratio improvement and support management fee revenue growth. </w:t>
      </w:r>
      <w:r>
        <w:rPr>
          <w:rFonts w:ascii="Calibri" w:hAnsi="Calibri"/>
          <w:color w:val="525866"/>
          <w:sz w:val="22"/>
        </w:rPr>
        <w:t xml:space="preserve">Management's tone on the Q1 2026 call was measured — "early signs of turning a corner" with "more work ahead" — signaling continued discipline but stopping short of the confident "clear evidence of rate adequacy" language used in Q4 2025, reflecting the reality that pricing adequacy has created a competitive headwind: policies in force fell 1.7% YoY and retention slipped to 88% in Q1. </w:t>
      </w:r>
      <w:r>
        <w:rPr>
          <w:rFonts w:ascii="Calibri" w:hAnsi="Calibri"/>
          <w:color w:val="525866"/>
          <w:sz w:val="22"/>
        </w:rPr>
        <w:t xml:space="preserve">Estimate revisions have been largely flat-to-down since the Q1 miss, with the stock down roughly 3% since last earnings (vs. SPY +4.5%) as multiple compression has weighed on a name that still trades at a premium to P&amp;C peers. </w:t>
      </w:r>
      <w:r>
        <w:rPr>
          <w:rFonts w:ascii="Calibri" w:hAnsi="Calibri"/>
          <w:color w:val="525866"/>
          <w:sz w:val="22"/>
        </w:rPr>
        <w:t>The key wildcard is catastrophe loss experience in Q2 2026 — Q2 2025 was one of the worst cat quarters in company history (20.7 cat points), so even a return to historical norms would be a meaningful tailwind, but any above-average weather event in ERIE's Midwest/Mid-Atlantic footprint could erase that benefit and reprise the Q1 miss dynamic.</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low absolute bar — EPS of $3.35 is barely above the prior-year $3.34 — but the bigger swing factor is the Exchange combined ratio, where a normalization of catastrophe losses from Q2 2025’s historically elevated 116.9% could drive a meaningful beat on operating income even if premium growth remains subdued.</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EPS (Net Income)</w:t>
            </w:r>
          </w:p>
        </w:tc>
        <w:tc>
          <w:tcPr>
            <w:tcW w:type="dxa" w:w="1234"/>
          </w:tcPr>
          <w:p>
            <w:r>
              <w:rPr>
                <w:rFonts w:ascii="Calibri" w:hAnsi="Calibri"/>
                <w:sz w:val="22"/>
              </w:rPr>
              <w:t>$2.88</w:t>
            </w:r>
          </w:p>
        </w:tc>
        <w:tc>
          <w:tcPr>
            <w:tcW w:type="dxa" w:w="1234"/>
          </w:tcPr>
          <w:p>
            <w:r>
              <w:rPr>
                <w:rFonts w:ascii="Calibri" w:hAnsi="Calibri"/>
                <w:sz w:val="22"/>
              </w:rPr>
              <w:t>$3.34</w:t>
            </w:r>
          </w:p>
        </w:tc>
        <w:tc>
          <w:tcPr>
            <w:tcW w:type="dxa" w:w="1234"/>
          </w:tcPr>
          <w:p>
            <w:r>
              <w:rPr>
                <w:rFonts w:ascii="Calibri" w:hAnsi="Calibri"/>
                <w:sz w:val="22"/>
              </w:rPr>
              <w:t>$3.35</w:t>
            </w:r>
          </w:p>
        </w:tc>
        <w:tc>
          <w:tcPr>
            <w:tcW w:type="dxa" w:w="1234"/>
          </w:tcPr>
          <w:p>
            <w:r>
              <w:rPr>
                <w:rFonts w:ascii="Calibri" w:hAnsi="Calibri"/>
                <w:sz w:val="22"/>
              </w:rPr>
              <w:t>+0.3%</w:t>
            </w:r>
          </w:p>
        </w:tc>
        <w:tc>
          <w:tcPr>
            <w:tcW w:type="dxa" w:w="1234"/>
          </w:tcPr>
          <w:p>
            <w:r>
              <w:rPr>
                <w:rFonts w:ascii="Calibri" w:hAnsi="Calibri"/>
                <w:sz w:val="22"/>
              </w:rPr>
              <w:t>No explicit quarterly EPS guidance provided</w:t>
            </w:r>
          </w:p>
        </w:tc>
        <w:tc>
          <w:tcPr>
            <w:tcW w:type="dxa" w:w="1234"/>
          </w:tcPr>
          <w:p>
            <w:r>
              <w:rPr>
                <w:rFonts w:ascii="Calibri" w:hAnsi="Calibri"/>
                <w:sz w:val="22"/>
              </w:rPr>
              <w:t>N/A</w:t>
            </w:r>
          </w:p>
        </w:tc>
      </w:tr>
      <w:tr>
        <w:tc>
          <w:tcPr>
            <w:tcW w:type="dxa" w:w="1234"/>
          </w:tcPr>
          <w:p>
            <w:r>
              <w:rPr>
                <w:rFonts w:ascii="Calibri" w:hAnsi="Calibri"/>
                <w:sz w:val="22"/>
              </w:rPr>
              <w:t>Management Fee Revenue (Policy Issuance &amp; Renewal)</w:t>
            </w:r>
          </w:p>
        </w:tc>
        <w:tc>
          <w:tcPr>
            <w:tcW w:type="dxa" w:w="1234"/>
          </w:tcPr>
          <w:p>
            <w:r>
              <w:rPr>
                <w:rFonts w:ascii="Calibri" w:hAnsi="Calibri"/>
                <w:sz w:val="22"/>
              </w:rPr>
              <w:t>$793M (est. from 4.2% growth on ~$762M Q1 2025 base)</w:t>
            </w:r>
          </w:p>
        </w:tc>
        <w:tc>
          <w:tcPr>
            <w:tcW w:type="dxa" w:w="1234"/>
          </w:tcPr>
          <w:p>
            <w:r>
              <w:rPr>
                <w:rFonts w:ascii="Calibri" w:hAnsi="Calibri"/>
                <w:sz w:val="22"/>
              </w:rPr>
              <w:t>$824M</w:t>
            </w:r>
          </w:p>
        </w:tc>
        <w:tc>
          <w:tcPr>
            <w:tcW w:type="dxa" w:w="1234"/>
          </w:tcPr>
          <w:p>
            <w:r>
              <w:rPr>
                <w:rFonts w:ascii="Calibri" w:hAnsi="Calibri"/>
                <w:sz w:val="22"/>
              </w:rPr>
              <w:t>~$1.09B (total revenue consensus)</w:t>
            </w:r>
          </w:p>
        </w:tc>
        <w:tc>
          <w:tcPr>
            <w:tcW w:type="dxa" w:w="1234"/>
          </w:tcPr>
          <w:p>
            <w:r>
              <w:rPr>
                <w:rFonts w:ascii="Calibri" w:hAnsi="Calibri"/>
                <w:sz w:val="22"/>
              </w:rPr>
              <w:t>N/A — segment not separately disclosed in consensus</w:t>
            </w:r>
          </w:p>
        </w:tc>
        <w:tc>
          <w:tcPr>
            <w:tcW w:type="dxa" w:w="1234"/>
          </w:tcPr>
          <w:p>
            <w:r>
              <w:rPr>
                <w:rFonts w:ascii="Calibri" w:hAnsi="Calibri"/>
                <w:sz w:val="22"/>
              </w:rPr>
              <w:t>In line with DWP growth; no specific revenue guidance</w:t>
            </w:r>
          </w:p>
        </w:tc>
        <w:tc>
          <w:tcPr>
            <w:tcW w:type="dxa" w:w="1234"/>
          </w:tcPr>
          <w:p>
            <w:r>
              <w:rPr>
                <w:rFonts w:ascii="Calibri" w:hAnsi="Calibri"/>
                <w:sz w:val="22"/>
              </w:rPr>
              <w:t>N/A</w:t>
            </w:r>
          </w:p>
        </w:tc>
      </w:tr>
      <w:tr>
        <w:tc>
          <w:tcPr>
            <w:tcW w:type="dxa" w:w="1234"/>
          </w:tcPr>
          <w:p>
            <w:r>
              <w:rPr>
                <w:rFonts w:ascii="Calibri" w:hAnsi="Calibri"/>
                <w:sz w:val="22"/>
              </w:rPr>
              <w:t>Exchange Combined Ratio</w:t>
            </w:r>
          </w:p>
        </w:tc>
        <w:tc>
          <w:tcPr>
            <w:tcW w:type="dxa" w:w="1234"/>
          </w:tcPr>
          <w:p>
            <w:r>
              <w:rPr>
                <w:rFonts w:ascii="Calibri" w:hAnsi="Calibri"/>
                <w:sz w:val="22"/>
              </w:rPr>
              <w:t>99.4%</w:t>
            </w:r>
          </w:p>
        </w:tc>
        <w:tc>
          <w:tcPr>
            <w:tcW w:type="dxa" w:w="1234"/>
          </w:tcPr>
          <w:p>
            <w:r>
              <w:rPr>
                <w:rFonts w:ascii="Calibri" w:hAnsi="Calibri"/>
                <w:sz w:val="22"/>
              </w:rPr>
              <w:t>116.9%</w:t>
            </w:r>
          </w:p>
        </w:tc>
        <w:tc>
          <w:tcPr>
            <w:tcW w:type="dxa" w:w="1234"/>
          </w:tcPr>
          <w:p>
            <w:r>
              <w:rPr>
                <w:rFonts w:ascii="Calibri" w:hAnsi="Calibri"/>
                <w:sz w:val="22"/>
              </w:rPr>
              <w:t>N/A — not in VA consensus</w:t>
            </w:r>
          </w:p>
        </w:tc>
        <w:tc>
          <w:tcPr>
            <w:tcW w:type="dxa" w:w="1234"/>
          </w:tcPr>
          <w:p>
            <w:r>
              <w:rPr>
                <w:rFonts w:ascii="Calibri" w:hAnsi="Calibri"/>
                <w:sz w:val="22"/>
              </w:rPr>
              <w:t>Significant improvement expected vs. 116.9% (20.7 cat pts in Q2 2025)</w:t>
            </w:r>
          </w:p>
        </w:tc>
        <w:tc>
          <w:tcPr>
            <w:tcW w:type="dxa" w:w="1234"/>
          </w:tcPr>
          <w:p>
            <w:r>
              <w:rPr>
                <w:rFonts w:ascii="Calibri" w:hAnsi="Calibri"/>
                <w:sz w:val="22"/>
              </w:rPr>
              <w:t>Continued improvement toward breakeven; no specific target given</w:t>
            </w:r>
          </w:p>
        </w:tc>
        <w:tc>
          <w:tcPr>
            <w:tcW w:type="dxa" w:w="1234"/>
          </w:tcPr>
          <w:p>
            <w:r>
              <w:rPr>
                <w:rFonts w:ascii="Calibri" w:hAnsi="Calibri"/>
                <w:sz w:val="22"/>
              </w:rPr>
              <w:t>N/A</w:t>
            </w:r>
          </w:p>
        </w:tc>
      </w:tr>
      <w:tr>
        <w:tc>
          <w:tcPr>
            <w:tcW w:type="dxa" w:w="1234"/>
          </w:tcPr>
          <w:p>
            <w:r>
              <w:rPr>
                <w:rFonts w:ascii="Calibri" w:hAnsi="Calibri"/>
                <w:sz w:val="22"/>
              </w:rPr>
              <w:t>Direct Written Premium Growth (Exchange)</w:t>
            </w:r>
          </w:p>
        </w:tc>
        <w:tc>
          <w:tcPr>
            <w:tcW w:type="dxa" w:w="1234"/>
          </w:tcPr>
          <w:p>
            <w:r>
              <w:rPr>
                <w:rFonts w:ascii="Calibri" w:hAnsi="Calibri"/>
                <w:sz w:val="22"/>
              </w:rPr>
              <w:t>+3.6% YoY</w:t>
            </w:r>
          </w:p>
        </w:tc>
        <w:tc>
          <w:tcPr>
            <w:tcW w:type="dxa" w:w="1234"/>
          </w:tcPr>
          <w:p>
            <w:r>
              <w:rPr>
                <w:rFonts w:ascii="Calibri" w:hAnsi="Calibri"/>
                <w:sz w:val="22"/>
              </w:rPr>
              <w:t>+9.2% YoY</w:t>
            </w:r>
          </w:p>
        </w:tc>
        <w:tc>
          <w:tcPr>
            <w:tcW w:type="dxa" w:w="1234"/>
          </w:tcPr>
          <w:p>
            <w:r>
              <w:rPr>
                <w:rFonts w:ascii="Calibri" w:hAnsi="Calibri"/>
                <w:sz w:val="22"/>
              </w:rPr>
              <w:t>N/A — not in VA consensus</w:t>
            </w:r>
          </w:p>
        </w:tc>
        <w:tc>
          <w:tcPr>
            <w:tcW w:type="dxa" w:w="1234"/>
          </w:tcPr>
          <w:p>
            <w:r>
              <w:rPr>
                <w:rFonts w:ascii="Calibri" w:hAnsi="Calibri"/>
                <w:sz w:val="22"/>
              </w:rPr>
              <w:t>Deceleration expected; pricing adequacy creating competitive headwind</w:t>
            </w:r>
          </w:p>
        </w:tc>
        <w:tc>
          <w:tcPr>
            <w:tcW w:type="dxa" w:w="1234"/>
          </w:tcPr>
          <w:p>
            <w:r>
              <w:rPr>
                <w:rFonts w:ascii="Calibri" w:hAnsi="Calibri"/>
                <w:sz w:val="22"/>
              </w:rPr>
              <w:t>No specific DWP growth guidance; management flagged competitive pressure</w:t>
            </w:r>
          </w:p>
        </w:tc>
        <w:tc>
          <w:tcPr>
            <w:tcW w:type="dxa" w:w="1234"/>
          </w:tcPr>
          <w:p>
            <w:r>
              <w:rPr>
                <w:rFonts w:ascii="Calibri" w:hAnsi="Calibri"/>
                <w:sz w:val="22"/>
              </w:rPr>
              <w:t>N/A</w:t>
            </w:r>
          </w:p>
        </w:tc>
      </w:tr>
      <w:tr>
        <w:tc>
          <w:tcPr>
            <w:tcW w:type="dxa" w:w="1234"/>
          </w:tcPr>
          <w:p>
            <w:r>
              <w:rPr>
                <w:rFonts w:ascii="Calibri" w:hAnsi="Calibri"/>
                <w:sz w:val="22"/>
              </w:rPr>
              <w:t>Policies in Force (YoY Change)</w:t>
            </w:r>
          </w:p>
        </w:tc>
        <w:tc>
          <w:tcPr>
            <w:tcW w:type="dxa" w:w="1234"/>
          </w:tcPr>
          <w:p>
            <w:r>
              <w:rPr>
                <w:rFonts w:ascii="Calibri" w:hAnsi="Calibri"/>
                <w:sz w:val="22"/>
              </w:rPr>
              <w:t>-1.7% YoY</w:t>
            </w:r>
          </w:p>
        </w:tc>
        <w:tc>
          <w:tcPr>
            <w:tcW w:type="dxa" w:w="1234"/>
          </w:tcPr>
          <w:p>
            <w:r>
              <w:rPr>
                <w:rFonts w:ascii="Calibri" w:hAnsi="Calibri"/>
                <w:sz w:val="22"/>
              </w:rPr>
              <w:t>+1.7% YoY</w:t>
            </w:r>
          </w:p>
        </w:tc>
        <w:tc>
          <w:tcPr>
            <w:tcW w:type="dxa" w:w="1234"/>
          </w:tcPr>
          <w:p>
            <w:r>
              <w:rPr>
                <w:rFonts w:ascii="Calibri" w:hAnsi="Calibri"/>
                <w:sz w:val="22"/>
              </w:rPr>
              <w:t>N/A — not in VA consensus</w:t>
            </w:r>
          </w:p>
        </w:tc>
        <w:tc>
          <w:tcPr>
            <w:tcW w:type="dxa" w:w="1234"/>
          </w:tcPr>
          <w:p>
            <w:r>
              <w:rPr>
                <w:rFonts w:ascii="Calibri" w:hAnsi="Calibri"/>
                <w:sz w:val="22"/>
              </w:rPr>
              <w:t>Continued pressure expected; retention at 88% in Q1 2026</w:t>
            </w:r>
          </w:p>
        </w:tc>
        <w:tc>
          <w:tcPr>
            <w:tcW w:type="dxa" w:w="1234"/>
          </w:tcPr>
          <w:p>
            <w:r>
              <w:rPr>
                <w:rFonts w:ascii="Calibri" w:hAnsi="Calibri"/>
                <w:sz w:val="22"/>
              </w:rPr>
              <w:t>No specific target; management acknowledged competitive headwind</w:t>
            </w:r>
          </w:p>
        </w:tc>
        <w:tc>
          <w:tcPr>
            <w:tcW w:type="dxa" w:w="1234"/>
          </w:tcPr>
          <w:p>
            <w:r>
              <w:rPr>
                <w:rFonts w:ascii="Calibri" w:hAnsi="Calibri"/>
                <w:sz w:val="22"/>
              </w:rPr>
              <w:t>N/A</w:t>
            </w:r>
          </w:p>
        </w:tc>
      </w:tr>
      <w:tr>
        <w:tc>
          <w:tcPr>
            <w:tcW w:type="dxa" w:w="1234"/>
          </w:tcPr>
          <w:p>
            <w:r>
              <w:rPr>
                <w:rFonts w:ascii="Calibri" w:hAnsi="Calibri"/>
                <w:sz w:val="22"/>
              </w:rPr>
              <w:t>Operating Income</w:t>
            </w:r>
          </w:p>
        </w:tc>
        <w:tc>
          <w:tcPr>
            <w:tcW w:type="dxa" w:w="1234"/>
          </w:tcPr>
          <w:p>
            <w:r>
              <w:rPr>
                <w:rFonts w:ascii="Calibri" w:hAnsi="Calibri"/>
                <w:sz w:val="22"/>
              </w:rPr>
              <w:t>$166.8M (+10.2% YoY)</w:t>
            </w:r>
          </w:p>
        </w:tc>
        <w:tc>
          <w:tcPr>
            <w:tcW w:type="dxa" w:w="1234"/>
          </w:tcPr>
          <w:p>
            <w:r>
              <w:rPr>
                <w:rFonts w:ascii="Calibri" w:hAnsi="Calibri"/>
                <w:sz w:val="22"/>
              </w:rPr>
              <w:t>~$200M (+5% YoY in Q2 2025)</w:t>
            </w:r>
          </w:p>
        </w:tc>
        <w:tc>
          <w:tcPr>
            <w:tcW w:type="dxa" w:w="1234"/>
          </w:tcPr>
          <w:p>
            <w:r>
              <w:rPr>
                <w:rFonts w:ascii="Calibri" w:hAnsi="Calibri"/>
                <w:sz w:val="22"/>
              </w:rPr>
              <w:t>N/A — not in VA consensus</w:t>
            </w:r>
          </w:p>
        </w:tc>
        <w:tc>
          <w:tcPr>
            <w:tcW w:type="dxa" w:w="1234"/>
          </w:tcPr>
          <w:p>
            <w:r>
              <w:rPr>
                <w:rFonts w:ascii="Calibri" w:hAnsi="Calibri"/>
                <w:sz w:val="22"/>
              </w:rPr>
              <w:t>N/A</w:t>
            </w:r>
          </w:p>
        </w:tc>
        <w:tc>
          <w:tcPr>
            <w:tcW w:type="dxa" w:w="1234"/>
          </w:tcPr>
          <w:p>
            <w:r>
              <w:rPr>
                <w:rFonts w:ascii="Calibri" w:hAnsi="Calibri"/>
                <w:sz w:val="22"/>
              </w:rPr>
              <w:t>No specific guidance</w:t>
            </w:r>
          </w:p>
        </w:tc>
        <w:tc>
          <w:tcPr>
            <w:tcW w:type="dxa" w:w="1234"/>
          </w:tcPr>
          <w:p>
            <w:r>
              <w:rPr>
                <w:rFonts w:ascii="Calibri" w:hAnsi="Calibri"/>
                <w:sz w:val="22"/>
              </w:rPr>
              <w:t>N/A</w:t>
            </w:r>
          </w:p>
        </w:tc>
      </w:tr>
      <w:tr>
        <w:tc>
          <w:tcPr>
            <w:tcW w:type="dxa" w:w="1234"/>
          </w:tcPr>
          <w:p>
            <w:r>
              <w:rPr>
                <w:rFonts w:ascii="Calibri" w:hAnsi="Calibri"/>
                <w:sz w:val="22"/>
              </w:rPr>
              <w:t>Investment Income</w:t>
            </w:r>
          </w:p>
        </w:tc>
        <w:tc>
          <w:tcPr>
            <w:tcW w:type="dxa" w:w="1234"/>
          </w:tcPr>
          <w:p>
            <w:r>
              <w:rPr>
                <w:rFonts w:ascii="Calibri" w:hAnsi="Calibri"/>
                <w:sz w:val="22"/>
              </w:rPr>
              <w:t>$22M</w:t>
            </w:r>
          </w:p>
        </w:tc>
        <w:tc>
          <w:tcPr>
            <w:tcW w:type="dxa" w:w="1234"/>
          </w:tcPr>
          <w:p>
            <w:r>
              <w:rPr>
                <w:rFonts w:ascii="Calibri" w:hAnsi="Calibri"/>
                <w:sz w:val="22"/>
              </w:rPr>
              <w:t>~$20M</w:t>
            </w:r>
          </w:p>
        </w:tc>
        <w:tc>
          <w:tcPr>
            <w:tcW w:type="dxa" w:w="1234"/>
          </w:tcPr>
          <w:p>
            <w:r>
              <w:rPr>
                <w:rFonts w:ascii="Calibri" w:hAnsi="Calibri"/>
                <w:sz w:val="22"/>
              </w:rPr>
              <w:t>N/A — not in VA consensus</w:t>
            </w:r>
          </w:p>
        </w:tc>
        <w:tc>
          <w:tcPr>
            <w:tcW w:type="dxa" w:w="1234"/>
          </w:tcPr>
          <w:p>
            <w:r>
              <w:rPr>
                <w:rFonts w:ascii="Calibri" w:hAnsi="Calibri"/>
                <w:sz w:val="22"/>
              </w:rPr>
              <w:t>Modest growth expected on higher yields and balances</w:t>
            </w:r>
          </w:p>
        </w:tc>
        <w:tc>
          <w:tcPr>
            <w:tcW w:type="dxa" w:w="1234"/>
          </w:tcPr>
          <w:p>
            <w:r>
              <w:rPr>
                <w:rFonts w:ascii="Calibri" w:hAnsi="Calibri"/>
                <w:sz w:val="22"/>
              </w:rPr>
              <w:t>No specific guidance</w:t>
            </w:r>
          </w:p>
        </w:tc>
        <w:tc>
          <w:tcPr>
            <w:tcW w:type="dxa" w:w="1234"/>
          </w:tcPr>
          <w:p>
            <w:r>
              <w:rPr>
                <w:rFonts w:ascii="Calibri" w:hAnsi="Calibri"/>
                <w:sz w:val="22"/>
              </w:rPr>
              <w:t>N/A</w:t>
            </w:r>
          </w:p>
        </w:tc>
      </w:tr>
    </w:tbl>
    <w:p>
      <w:r>
        <w:rPr>
          <w:rFonts w:ascii="Calibri" w:hAnsi="Calibri"/>
          <w:b/>
          <w:color w:val="525866"/>
          <w:sz w:val="22"/>
        </w:rPr>
        <w:t xml:space="preserve">Note: </w:t>
      </w:r>
      <w:r>
        <w:rPr>
          <w:rFonts w:ascii="Calibri" w:hAnsi="Calibri"/>
          <w:color w:val="525866"/>
          <w:sz w:val="22"/>
        </w:rPr>
        <w:t>Visible Alpha does not carry granular Exchange-level KPIs (combined ratio, DWP growth, policies in force) for ERIE in its consensus database. EPS consensus of $3.35 and total revenue consensus of ~$1.09B are sourced from public consensus aggregators. Q1 2026 actuals and Q2 2025 actuals are sourced from ERIE earnings transcripts and press releases.</w:t>
      </w:r>
    </w:p>
    <w:p>
      <w:pPr>
        <w:pStyle w:val="Heading3"/>
      </w:pPr>
      <w:r>
        <w:rPr>
          <w:rFonts w:ascii="Calibri" w:hAnsi="Calibri"/>
          <w:b/>
          <w:color w:val="3B4259"/>
          <w:sz w:val="24"/>
        </w:rPr>
        <w:t>Table 2 — Beat/Miss History (Last 8 Quarters —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EPS</w:t>
            </w:r>
          </w:p>
        </w:tc>
        <w:tc>
          <w:tcPr>
            <w:tcW w:type="dxa" w:w="1728"/>
            <w:shd w:val="clear" w:color="auto" w:fill="3B4259"/>
          </w:tcPr>
          <w:p>
            <w:r>
              <w:rPr>
                <w:rFonts w:ascii="Calibri" w:hAnsi="Calibri"/>
                <w:b/>
                <w:color w:val="FFFFFF"/>
                <w:sz w:val="22"/>
              </w:rPr>
              <w:t>Consensus EPS</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Q1 2026</w:t>
            </w:r>
          </w:p>
        </w:tc>
        <w:tc>
          <w:tcPr>
            <w:tcW w:type="dxa" w:w="1728"/>
          </w:tcPr>
          <w:p>
            <w:r>
              <w:rPr>
                <w:rFonts w:ascii="Calibri" w:hAnsi="Calibri"/>
                <w:sz w:val="22"/>
              </w:rPr>
              <w:t>$2.88</w:t>
            </w:r>
          </w:p>
        </w:tc>
        <w:tc>
          <w:tcPr>
            <w:tcW w:type="dxa" w:w="1728"/>
          </w:tcPr>
          <w:p>
            <w:r>
              <w:rPr>
                <w:rFonts w:ascii="Calibri" w:hAnsi="Calibri"/>
                <w:sz w:val="22"/>
              </w:rPr>
              <w:t>$3.06</w:t>
            </w:r>
          </w:p>
        </w:tc>
        <w:tc>
          <w:tcPr>
            <w:tcW w:type="dxa" w:w="1728"/>
          </w:tcPr>
          <w:p>
            <w:r>
              <w:rPr>
                <w:rFonts w:ascii="Calibri" w:hAnsi="Calibri"/>
                <w:b/>
                <w:color w:val="E5484D"/>
                <w:sz w:val="22"/>
              </w:rPr>
              <w:t>-5.9%</w:t>
            </w:r>
          </w:p>
        </w:tc>
        <w:tc>
          <w:tcPr>
            <w:tcW w:type="dxa" w:w="1728"/>
          </w:tcPr>
          <w:p>
            <w:r>
              <w:rPr>
                <w:rFonts w:ascii="Calibri" w:hAnsi="Calibri"/>
                <w:b/>
                <w:color w:val="E5484D"/>
                <w:sz w:val="22"/>
              </w:rPr>
              <w:t>Miss</w:t>
            </w:r>
          </w:p>
        </w:tc>
      </w:tr>
      <w:tr>
        <w:tc>
          <w:tcPr>
            <w:tcW w:type="dxa" w:w="1728"/>
          </w:tcPr>
          <w:p>
            <w:r>
              <w:rPr>
                <w:rFonts w:ascii="Calibri" w:hAnsi="Calibri"/>
                <w:sz w:val="22"/>
              </w:rPr>
              <w:t>Q4 2025</w:t>
            </w:r>
          </w:p>
        </w:tc>
        <w:tc>
          <w:tcPr>
            <w:tcW w:type="dxa" w:w="1728"/>
          </w:tcPr>
          <w:p>
            <w:r>
              <w:rPr>
                <w:rFonts w:ascii="Calibri" w:hAnsi="Calibri"/>
                <w:sz w:val="22"/>
              </w:rPr>
              <w:t>$1.21</w:t>
            </w:r>
          </w:p>
        </w:tc>
        <w:tc>
          <w:tcPr>
            <w:tcW w:type="dxa" w:w="1728"/>
          </w:tcPr>
          <w:p>
            <w:r>
              <w:rPr>
                <w:rFonts w:ascii="Calibri" w:hAnsi="Calibri"/>
                <w:sz w:val="22"/>
              </w:rPr>
              <w:t>N/A</w:t>
            </w:r>
          </w:p>
        </w:tc>
        <w:tc>
          <w:tcPr>
            <w:tcW w:type="dxa" w:w="1728"/>
          </w:tcPr>
          <w:p>
            <w:r>
              <w:rPr>
                <w:rFonts w:ascii="Calibri" w:hAnsi="Calibri"/>
                <w:sz w:val="22"/>
              </w:rPr>
              <w:t>N/A (impacted by $100M charitable contribution, -$1.54/share)</w:t>
            </w:r>
          </w:p>
        </w:tc>
        <w:tc>
          <w:tcPr>
            <w:tcW w:type="dxa" w:w="1728"/>
          </w:tcPr>
          <w:p>
            <w:r>
              <w:rPr>
                <w:rFonts w:ascii="Calibri" w:hAnsi="Calibri"/>
                <w:sz w:val="22"/>
              </w:rPr>
              <w:t>Miss (adj. for one-time)</w:t>
            </w:r>
          </w:p>
        </w:tc>
      </w:tr>
      <w:tr>
        <w:tc>
          <w:tcPr>
            <w:tcW w:type="dxa" w:w="1728"/>
          </w:tcPr>
          <w:p>
            <w:r>
              <w:rPr>
                <w:rFonts w:ascii="Calibri" w:hAnsi="Calibri"/>
                <w:sz w:val="22"/>
              </w:rPr>
              <w:t>Q3 2025</w:t>
            </w:r>
          </w:p>
        </w:tc>
        <w:tc>
          <w:tcPr>
            <w:tcW w:type="dxa" w:w="1728"/>
          </w:tcPr>
          <w:p>
            <w:r>
              <w:rPr>
                <w:rFonts w:ascii="Calibri" w:hAnsi="Calibri"/>
                <w:sz w:val="22"/>
              </w:rPr>
              <w:t>N/A — not in source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 not in source</w:t>
            </w:r>
          </w:p>
        </w:tc>
      </w:tr>
      <w:tr>
        <w:tc>
          <w:tcPr>
            <w:tcW w:type="dxa" w:w="1728"/>
          </w:tcPr>
          <w:p>
            <w:r>
              <w:rPr>
                <w:rFonts w:ascii="Calibri" w:hAnsi="Calibri"/>
                <w:sz w:val="22"/>
              </w:rPr>
              <w:t>Q2 2025</w:t>
            </w:r>
          </w:p>
        </w:tc>
        <w:tc>
          <w:tcPr>
            <w:tcW w:type="dxa" w:w="1728"/>
          </w:tcPr>
          <w:p>
            <w:r>
              <w:rPr>
                <w:rFonts w:ascii="Calibri" w:hAnsi="Calibri"/>
                <w:sz w:val="22"/>
              </w:rPr>
              <w:t>$3.34</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 consensus not in source</w:t>
            </w:r>
          </w:p>
        </w:tc>
      </w:tr>
      <w:tr>
        <w:tc>
          <w:tcPr>
            <w:tcW w:type="dxa" w:w="1728"/>
          </w:tcPr>
          <w:p>
            <w:r>
              <w:rPr>
                <w:rFonts w:ascii="Calibri" w:hAnsi="Calibri"/>
                <w:sz w:val="22"/>
              </w:rPr>
              <w:t>Q1 2025</w:t>
            </w:r>
          </w:p>
        </w:tc>
        <w:tc>
          <w:tcPr>
            <w:tcW w:type="dxa" w:w="1728"/>
          </w:tcPr>
          <w:p>
            <w:r>
              <w:rPr>
                <w:rFonts w:ascii="Calibri" w:hAnsi="Calibri"/>
                <w:sz w:val="22"/>
              </w:rPr>
              <w:t>$2.65</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 consensus not in source</w:t>
            </w:r>
          </w:p>
        </w:tc>
      </w:tr>
      <w:tr>
        <w:tc>
          <w:tcPr>
            <w:tcW w:type="dxa" w:w="1728"/>
          </w:tcPr>
          <w:p>
            <w:r>
              <w:rPr>
                <w:rFonts w:ascii="Calibri" w:hAnsi="Calibri"/>
                <w:sz w:val="22"/>
              </w:rPr>
              <w:t>Q4 2024</w:t>
            </w:r>
          </w:p>
        </w:tc>
        <w:tc>
          <w:tcPr>
            <w:tcW w:type="dxa" w:w="1728"/>
          </w:tcPr>
          <w:p>
            <w:r>
              <w:rPr>
                <w:rFonts w:ascii="Calibri" w:hAnsi="Calibri"/>
                <w:sz w:val="22"/>
              </w:rPr>
              <w:t>$2.91</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 consensus not in source</w:t>
            </w:r>
          </w:p>
        </w:tc>
      </w:tr>
      <w:tr>
        <w:tc>
          <w:tcPr>
            <w:tcW w:type="dxa" w:w="1728"/>
          </w:tcPr>
          <w:p>
            <w:r>
              <w:rPr>
                <w:rFonts w:ascii="Calibri" w:hAnsi="Calibri"/>
                <w:sz w:val="22"/>
              </w:rPr>
              <w:t>Q3 2024</w:t>
            </w:r>
          </w:p>
        </w:tc>
        <w:tc>
          <w:tcPr>
            <w:tcW w:type="dxa" w:w="1728"/>
          </w:tcPr>
          <w:p>
            <w:r>
              <w:rPr>
                <w:rFonts w:ascii="Calibri" w:hAnsi="Calibri"/>
                <w:sz w:val="22"/>
              </w:rPr>
              <w:t>N/A — not in source</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 not in source</w:t>
            </w:r>
          </w:p>
        </w:tc>
      </w:tr>
      <w:tr>
        <w:tc>
          <w:tcPr>
            <w:tcW w:type="dxa" w:w="1728"/>
          </w:tcPr>
          <w:p>
            <w:r>
              <w:rPr>
                <w:rFonts w:ascii="Calibri" w:hAnsi="Calibri"/>
                <w:sz w:val="22"/>
              </w:rPr>
              <w:t>Q2 2024</w:t>
            </w:r>
          </w:p>
        </w:tc>
        <w:tc>
          <w:tcPr>
            <w:tcW w:type="dxa" w:w="1728"/>
          </w:tcPr>
          <w:p>
            <w:r>
              <w:rPr>
                <w:rFonts w:ascii="Calibri" w:hAnsi="Calibri"/>
                <w:sz w:val="22"/>
              </w:rPr>
              <w:t>$3.13</w:t>
            </w:r>
          </w:p>
        </w:tc>
        <w:tc>
          <w:tcPr>
            <w:tcW w:type="dxa" w:w="1728"/>
          </w:tcPr>
          <w:p>
            <w:r>
              <w:rPr>
                <w:rFonts w:ascii="Calibri" w:hAnsi="Calibri"/>
                <w:sz w:val="22"/>
              </w:rPr>
              <w:t>N/A</w:t>
            </w:r>
          </w:p>
        </w:tc>
        <w:tc>
          <w:tcPr>
            <w:tcW w:type="dxa" w:w="1728"/>
          </w:tcPr>
          <w:p>
            <w:r>
              <w:rPr>
                <w:rFonts w:ascii="Calibri" w:hAnsi="Calibri"/>
                <w:sz w:val="22"/>
              </w:rPr>
              <w:t>N/A</w:t>
            </w:r>
          </w:p>
        </w:tc>
        <w:tc>
          <w:tcPr>
            <w:tcW w:type="dxa" w:w="1728"/>
          </w:tcPr>
          <w:p>
            <w:r>
              <w:rPr>
                <w:rFonts w:ascii="Calibri" w:hAnsi="Calibri"/>
                <w:sz w:val="22"/>
              </w:rPr>
              <w:t>N/A — consensus not in source</w:t>
            </w:r>
          </w:p>
        </w:tc>
      </w:tr>
    </w:tbl>
    <w:p>
      <w:r>
        <w:rPr>
          <w:rFonts w:ascii="Calibri" w:hAnsi="Calibri"/>
          <w:b/>
          <w:color w:val="525866"/>
          <w:sz w:val="22"/>
        </w:rPr>
        <w:t xml:space="preserve">Pattern: </w:t>
      </w:r>
      <w:r>
        <w:rPr>
          <w:rFonts w:ascii="Calibri" w:hAnsi="Calibri"/>
          <w:color w:val="525866"/>
          <w:sz w:val="22"/>
        </w:rPr>
        <w:t>The most recent confirmed data point shows ERIE missed Q1 2026 EPS consensus by $0.18 (-5.9%), and per public sources the company has beaten analysts’ expectations only once in its last four quarterly reports — a pattern consistent with a management team that does not guide to a beatable bar and a business model where catastrophe volatility makes quarterly EPS inherently difficult to predict.</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Management has not issued explicit quantitative guidance for Q2 2026 or full-year 2026, but tone has moderated from the confident “clear evidence of rate adequacy” language of Q4 2025 to a more measured “early signs of turning a corner” posture in Q1 2026, reflecting the reality that pricing adequacy has created a competitive headwind on policy count and retention.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 Tone (Q1 2026 Earnings Call, Apr 23,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Diluted EPS (Q2 2026)</w:t>
            </w:r>
          </w:p>
        </w:tc>
        <w:tc>
          <w:tcPr>
            <w:tcW w:type="dxa" w:w="1728"/>
          </w:tcPr>
          <w:p>
            <w:r>
              <w:rPr>
                <w:rFonts w:ascii="Calibri" w:hAnsi="Calibri"/>
                <w:sz w:val="22"/>
              </w:rPr>
              <w:t>No explicit guidance provided</w:t>
            </w:r>
          </w:p>
        </w:tc>
        <w:tc>
          <w:tcPr>
            <w:tcW w:type="dxa" w:w="1728"/>
          </w:tcPr>
          <w:p>
            <w:r>
              <w:rPr>
                <w:rFonts w:ascii="Calibri" w:hAnsi="Calibri"/>
                <w:sz w:val="22"/>
              </w:rPr>
              <w:t>—</w:t>
            </w:r>
          </w:p>
        </w:tc>
        <w:tc>
          <w:tcPr>
            <w:tcW w:type="dxa" w:w="1728"/>
          </w:tcPr>
          <w:p>
            <w:r>
              <w:rPr>
                <w:rFonts w:ascii="Calibri" w:hAnsi="Calibri"/>
                <w:sz w:val="22"/>
              </w:rPr>
              <w:t>$3.35</w:t>
            </w:r>
          </w:p>
        </w:tc>
        <w:tc>
          <w:tcPr>
            <w:tcW w:type="dxa" w:w="1728"/>
          </w:tcPr>
          <w:p>
            <w:r>
              <w:rPr>
                <w:rFonts w:ascii="Calibri" w:hAnsi="Calibri"/>
                <w:sz w:val="22"/>
              </w:rPr>
              <w:t>No post-earnings update; consensus unchanged since Q1 print</w:t>
            </w:r>
          </w:p>
        </w:tc>
      </w:tr>
      <w:tr>
        <w:tc>
          <w:tcPr>
            <w:tcW w:type="dxa" w:w="1728"/>
          </w:tcPr>
          <w:p>
            <w:r>
              <w:rPr>
                <w:rFonts w:ascii="Calibri" w:hAnsi="Calibri"/>
                <w:sz w:val="22"/>
              </w:rPr>
              <w:t>Diluted EPS (FY 2026)</w:t>
            </w:r>
          </w:p>
        </w:tc>
        <w:tc>
          <w:tcPr>
            <w:tcW w:type="dxa" w:w="1728"/>
          </w:tcPr>
          <w:p>
            <w:r>
              <w:rPr>
                <w:rFonts w:ascii="Calibri" w:hAnsi="Calibri"/>
                <w:sz w:val="22"/>
              </w:rPr>
              <w:t>No explicit guidance; management focused on profitability restoration and disciplined growth</w:t>
            </w:r>
          </w:p>
        </w:tc>
        <w:tc>
          <w:tcPr>
            <w:tcW w:type="dxa" w:w="1728"/>
          </w:tcPr>
          <w:p>
            <w:r>
              <w:rPr>
                <w:rFonts w:ascii="Calibri" w:hAnsi="Calibri"/>
                <w:sz w:val="22"/>
              </w:rPr>
              <w:t>—</w:t>
            </w:r>
          </w:p>
        </w:tc>
        <w:tc>
          <w:tcPr>
            <w:tcW w:type="dxa" w:w="1728"/>
          </w:tcPr>
          <w:p>
            <w:r>
              <w:rPr>
                <w:rFonts w:ascii="Calibri" w:hAnsi="Calibri"/>
                <w:sz w:val="22"/>
              </w:rPr>
              <w:t>$12.47</w:t>
            </w:r>
          </w:p>
        </w:tc>
        <w:tc>
          <w:tcPr>
            <w:tcW w:type="dxa" w:w="1728"/>
          </w:tcPr>
          <w:p>
            <w:r>
              <w:rPr>
                <w:rFonts w:ascii="Calibri" w:hAnsi="Calibri"/>
                <w:sz w:val="22"/>
              </w:rPr>
              <w:t>Consensus implies ~36% YoY growth vs. FY2025 $10.69 (includes $1.54 charitable contribution impact in Q4 2025)</w:t>
            </w:r>
          </w:p>
        </w:tc>
      </w:tr>
      <w:tr>
        <w:tc>
          <w:tcPr>
            <w:tcW w:type="dxa" w:w="1728"/>
          </w:tcPr>
          <w:p>
            <w:r>
              <w:rPr>
                <w:rFonts w:ascii="Calibri" w:hAnsi="Calibri"/>
                <w:sz w:val="22"/>
              </w:rPr>
              <w:t>Exchange Combined Ratio</w:t>
            </w:r>
          </w:p>
        </w:tc>
        <w:tc>
          <w:tcPr>
            <w:tcW w:type="dxa" w:w="1728"/>
          </w:tcPr>
          <w:p>
            <w:r>
              <w:rPr>
                <w:rFonts w:ascii="Calibri" w:hAnsi="Calibri"/>
                <w:sz w:val="22"/>
              </w:rPr>
              <w:t>Q1 2026: 99.4% (near breakeven); management expects continued improvement; “early signs of turning a corner”</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Tone moderated from Q4 2025’s “clear evidence of rate adequacy”; competitive headwinds acknowledged</w:t>
            </w:r>
          </w:p>
        </w:tc>
      </w:tr>
      <w:tr>
        <w:tc>
          <w:tcPr>
            <w:tcW w:type="dxa" w:w="1728"/>
          </w:tcPr>
          <w:p>
            <w:r>
              <w:rPr>
                <w:rFonts w:ascii="Calibri" w:hAnsi="Calibri"/>
                <w:sz w:val="22"/>
              </w:rPr>
              <w:t>Direct Written Premium Growth</w:t>
            </w:r>
          </w:p>
        </w:tc>
        <w:tc>
          <w:tcPr>
            <w:tcW w:type="dxa" w:w="1728"/>
          </w:tcPr>
          <w:p>
            <w:r>
              <w:rPr>
                <w:rFonts w:ascii="Calibri" w:hAnsi="Calibri"/>
                <w:sz w:val="22"/>
              </w:rPr>
              <w:t>Q1 2026: +3.6% (sharp deceleration from +13.9% in Q1 2025); pricing adequacy creating competitive headwind</w:t>
            </w:r>
          </w:p>
        </w:tc>
        <w:tc>
          <w:tcPr>
            <w:tcW w:type="dxa" w:w="1728"/>
          </w:tcPr>
          <w:p>
            <w:r>
              <w:rPr>
                <w:rFonts w:ascii="Calibri" w:hAnsi="Calibri"/>
                <w:sz w:val="22"/>
              </w:rPr>
              <w:t>—</w:t>
            </w:r>
          </w:p>
        </w:tc>
        <w:tc>
          <w:tcPr>
            <w:tcW w:type="dxa" w:w="1728"/>
          </w:tcPr>
          <w:p>
            <w:r>
              <w:rPr>
                <w:rFonts w:ascii="Calibri" w:hAnsi="Calibri"/>
                <w:sz w:val="22"/>
              </w:rPr>
              <w:t>N/A — not in VA consensus</w:t>
            </w:r>
          </w:p>
        </w:tc>
        <w:tc>
          <w:tcPr>
            <w:tcW w:type="dxa" w:w="1728"/>
          </w:tcPr>
          <w:p>
            <w:r>
              <w:rPr>
                <w:rFonts w:ascii="Calibri" w:hAnsi="Calibri"/>
                <w:sz w:val="22"/>
              </w:rPr>
              <w:t>No explicit DWP guidance; Erie Secure Auto expansion into 4 additional states in Q2 expected to support submissions</w:t>
            </w:r>
          </w:p>
        </w:tc>
      </w:tr>
      <w:tr>
        <w:tc>
          <w:tcPr>
            <w:tcW w:type="dxa" w:w="1728"/>
          </w:tcPr>
          <w:p>
            <w:r>
              <w:rPr>
                <w:rFonts w:ascii="Calibri" w:hAnsi="Calibri"/>
                <w:sz w:val="22"/>
              </w:rPr>
              <w:t>Erie Secure Auto Rollout</w:t>
            </w:r>
          </w:p>
        </w:tc>
        <w:tc>
          <w:tcPr>
            <w:tcW w:type="dxa" w:w="1728"/>
          </w:tcPr>
          <w:p>
            <w:r>
              <w:rPr>
                <w:rFonts w:ascii="Calibri" w:hAnsi="Calibri"/>
                <w:sz w:val="22"/>
              </w:rPr>
              <w:t>Expanded to VA and WV post-Ohio pilot; 4 additional states planned for Q2 2026; continued expansion through year-end</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Key growth catalyst; management cited positive impact on submissions and premium in early states</w:t>
            </w:r>
          </w:p>
        </w:tc>
      </w:tr>
      <w:tr>
        <w:tc>
          <w:tcPr>
            <w:tcW w:type="dxa" w:w="1728"/>
          </w:tcPr>
          <w:p>
            <w:r>
              <w:rPr>
                <w:rFonts w:ascii="Calibri" w:hAnsi="Calibri"/>
                <w:sz w:val="22"/>
              </w:rPr>
              <w:t>Expense Growth</w:t>
            </w:r>
          </w:p>
        </w:tc>
        <w:tc>
          <w:tcPr>
            <w:tcW w:type="dxa" w:w="1728"/>
          </w:tcPr>
          <w:p>
            <w:r>
              <w:rPr>
                <w:rFonts w:ascii="Calibri" w:hAnsi="Calibri"/>
                <w:sz w:val="22"/>
              </w:rPr>
              <w:t>Q1 2026: +2.8% (modest); non-commission expenses -5.6%; commission expenses +6.4% (agent incentive comp driven)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Expense discipline a positive; commission growth tied to profitability improvement (agent incentive comp)</w:t>
            </w:r>
          </w:p>
        </w:tc>
      </w:tr>
      <w:tr>
        <w:tc>
          <w:tcPr>
            <w:tcW w:type="dxa" w:w="1728"/>
          </w:tcPr>
          <w:p>
            <w:r>
              <w:rPr>
                <w:rFonts w:ascii="Calibri" w:hAnsi="Calibri"/>
                <w:sz w:val="22"/>
              </w:rPr>
              <w:t>Policyholder Surplus</w:t>
            </w:r>
          </w:p>
        </w:tc>
        <w:tc>
          <w:tcPr>
            <w:tcW w:type="dxa" w:w="1728"/>
          </w:tcPr>
          <w:p>
            <w:r>
              <w:rPr>
                <w:rFonts w:ascii="Calibri" w:hAnsi="Calibri"/>
                <w:sz w:val="22"/>
              </w:rPr>
              <w:t>$10.1B at March 2026 (consistent with Dec 2025); reflects essentially breakeven underwriting</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Stable surplus validates rate strategy; no capital concerns flagged</w:t>
            </w:r>
          </w:p>
        </w:tc>
      </w:tr>
    </w:tbl>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for Q2 2026 EPS ($3.35) are essentially flat with the prior-year period ($3.34), reflecting a market that has not revised up despite the favorable catastrophe comparison, suggesting the street is skeptical that premium growth deceleration and policy count erosion will allow ERIE to leverage the cat tailwind into a meaningful beat. Full-year FY2026 EPS consensus of $12.47 implies ~36% growth, largely a function of the $1.54/share charitable contribution drag in Q4 2025 unwinding.</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 Period</w:t>
            </w:r>
          </w:p>
        </w:tc>
        <w:tc>
          <w:tcPr>
            <w:tcW w:type="dxa" w:w="1080"/>
            <w:shd w:val="clear" w:color="auto" w:fill="3B4259"/>
          </w:tcPr>
          <w:p>
            <w:r>
              <w:rPr>
                <w:rFonts w:ascii="Calibri" w:hAnsi="Calibri"/>
                <w:b/>
                <w:color w:val="FFFFFF"/>
                <w:sz w:val="22"/>
              </w:rPr>
              <w:t>Estimate ~5 Days Post Q1 2026 Earnings (Apr 28, 2026)</w:t>
            </w:r>
          </w:p>
        </w:tc>
        <w:tc>
          <w:tcPr>
            <w:tcW w:type="dxa" w:w="1080"/>
            <w:shd w:val="clear" w:color="auto" w:fill="3B4259"/>
          </w:tcPr>
          <w:p>
            <w:r>
              <w:rPr>
                <w:rFonts w:ascii="Calibri" w:hAnsi="Calibri"/>
                <w:b/>
                <w:color w:val="FFFFFF"/>
                <w:sz w:val="22"/>
              </w:rPr>
              <w:t>Current Consensus (Jul 29,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2026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Diluted EPS — Q2 2026</w:t>
            </w:r>
          </w:p>
        </w:tc>
        <w:tc>
          <w:tcPr>
            <w:tcW w:type="dxa" w:w="1080"/>
          </w:tcPr>
          <w:p>
            <w:r>
              <w:rPr>
                <w:rFonts w:ascii="Calibri" w:hAnsi="Calibri"/>
                <w:sz w:val="22"/>
              </w:rPr>
              <w:t>~$3.35 (per public sources; VA not available)</w:t>
            </w:r>
          </w:p>
        </w:tc>
        <w:tc>
          <w:tcPr>
            <w:tcW w:type="dxa" w:w="1080"/>
          </w:tcPr>
          <w:p>
            <w:r>
              <w:rPr>
                <w:rFonts w:ascii="Calibri" w:hAnsi="Calibri"/>
                <w:sz w:val="22"/>
              </w:rPr>
              <w:t>$3.35</w:t>
            </w:r>
          </w:p>
        </w:tc>
        <w:tc>
          <w:tcPr>
            <w:tcW w:type="dxa" w:w="1080"/>
          </w:tcPr>
          <w:p>
            <w:r>
              <w:rPr>
                <w:rFonts w:ascii="Calibri" w:hAnsi="Calibri"/>
                <w:sz w:val="22"/>
              </w:rPr>
              <w:t>~0%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FY 2026</w:t>
            </w:r>
          </w:p>
        </w:tc>
        <w:tc>
          <w:tcPr>
            <w:tcW w:type="dxa" w:w="1080"/>
          </w:tcPr>
          <w:p>
            <w:r>
              <w:rPr>
                <w:rFonts w:ascii="Calibri" w:hAnsi="Calibri"/>
                <w:sz w:val="22"/>
              </w:rPr>
              <w:t>~$12.47 (per public sources post-Q1 miss)</w:t>
            </w:r>
          </w:p>
        </w:tc>
        <w:tc>
          <w:tcPr>
            <w:tcW w:type="dxa" w:w="1080"/>
          </w:tcPr>
          <w:p>
            <w:r>
              <w:rPr>
                <w:rFonts w:ascii="Calibri" w:hAnsi="Calibri"/>
                <w:sz w:val="22"/>
              </w:rPr>
              <w:t>$12.47</w:t>
            </w:r>
          </w:p>
        </w:tc>
        <w:tc>
          <w:tcPr>
            <w:tcW w:type="dxa" w:w="1080"/>
          </w:tcPr>
          <w:p>
            <w:r>
              <w:rPr>
                <w:rFonts w:ascii="Calibri" w:hAnsi="Calibri"/>
                <w:sz w:val="22"/>
              </w:rPr>
              <w:t>~0%</w:t>
            </w:r>
          </w:p>
        </w:tc>
        <w:tc>
          <w:tcPr>
            <w:tcW w:type="dxa" w:w="1080"/>
          </w:tcPr>
          <w:p>
            <w:r>
              <w:rPr>
                <w:rFonts w:ascii="Calibri" w:hAnsi="Calibri"/>
                <w:sz w:val="22"/>
              </w:rPr>
              <w:t>No explicit guidance; management focused on profitability restoration</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 Q2 2026</w:t>
            </w:r>
          </w:p>
        </w:tc>
        <w:tc>
          <w:tcPr>
            <w:tcW w:type="dxa" w:w="1080"/>
          </w:tcPr>
          <w:p>
            <w:r>
              <w:rPr>
                <w:rFonts w:ascii="Calibri" w:hAnsi="Calibri"/>
                <w:sz w:val="22"/>
              </w:rPr>
              <w:t>~$1.09B (per public sources)</w:t>
            </w:r>
          </w:p>
        </w:tc>
        <w:tc>
          <w:tcPr>
            <w:tcW w:type="dxa" w:w="1080"/>
          </w:tcPr>
          <w:p>
            <w:r>
              <w:rPr>
                <w:rFonts w:ascii="Calibri" w:hAnsi="Calibri"/>
                <w:sz w:val="22"/>
              </w:rPr>
              <w:t>~$1.09B</w:t>
            </w:r>
          </w:p>
        </w:tc>
        <w:tc>
          <w:tcPr>
            <w:tcW w:type="dxa" w:w="1080"/>
          </w:tcPr>
          <w:p>
            <w:r>
              <w:rPr>
                <w:rFonts w:ascii="Calibri" w:hAnsi="Calibri"/>
                <w:sz w:val="22"/>
              </w:rPr>
              <w:t>~0%</w:t>
            </w:r>
          </w:p>
        </w:tc>
        <w:tc>
          <w:tcPr>
            <w:tcW w:type="dxa" w:w="1080"/>
          </w:tcPr>
          <w:p>
            <w:r>
              <w:rPr>
                <w:rFonts w:ascii="Calibri" w:hAnsi="Calibri"/>
                <w:sz w:val="22"/>
              </w:rPr>
              <w:t>No explicit guidance; management fee revenue tied to DWP growth</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Diluted EPS — FY 2027</w:t>
            </w:r>
          </w:p>
        </w:tc>
        <w:tc>
          <w:tcPr>
            <w:tcW w:type="dxa" w:w="1080"/>
          </w:tcPr>
          <w:p>
            <w:r>
              <w:rPr>
                <w:rFonts w:ascii="Calibri" w:hAnsi="Calibri"/>
                <w:sz w:val="22"/>
              </w:rPr>
              <w:t>~$12.70 (per public sources)</w:t>
            </w:r>
          </w:p>
        </w:tc>
        <w:tc>
          <w:tcPr>
            <w:tcW w:type="dxa" w:w="1080"/>
          </w:tcPr>
          <w:p>
            <w:r>
              <w:rPr>
                <w:rFonts w:ascii="Calibri" w:hAnsi="Calibri"/>
                <w:sz w:val="22"/>
              </w:rPr>
              <w:t>$12.70</w:t>
            </w:r>
          </w:p>
        </w:tc>
        <w:tc>
          <w:tcPr>
            <w:tcW w:type="dxa" w:w="1080"/>
          </w:tcPr>
          <w:p>
            <w:r>
              <w:rPr>
                <w:rFonts w:ascii="Calibri" w:hAnsi="Calibri"/>
                <w:sz w:val="22"/>
              </w:rPr>
              <w:t>~0%</w:t>
            </w:r>
          </w:p>
        </w:tc>
        <w:tc>
          <w:tcPr>
            <w:tcW w:type="dxa" w:w="1080"/>
          </w:tcPr>
          <w:p>
            <w:r>
              <w:rPr>
                <w:rFonts w:ascii="Calibri" w:hAnsi="Calibri"/>
                <w:sz w:val="22"/>
              </w:rPr>
              <w:t>No explicit guidance</w:t>
            </w:r>
          </w:p>
        </w:tc>
        <w:tc>
          <w:tcPr>
            <w:tcW w:type="dxa" w:w="1080"/>
          </w:tcPr>
          <w:p>
            <w:r>
              <w:rPr>
                <w:rFonts w:ascii="Calibri" w:hAnsi="Calibri"/>
                <w:sz w:val="22"/>
              </w:rPr>
              <w:t>No explicit guidance</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color w:val="525866"/>
          <w:sz w:val="22"/>
        </w:rPr>
        <w:t>Estimates have been remarkably stable since the Q1 2026 miss — no meaningful upward or downward revision — suggesting the street is in a wait-and-see mode on whether the combined ratio improvement trajectory is durable and whether Erie Secure Auto can reaccelerate policy growth. The flat revision trend is itself a mild negative signal: a true beat setup typically sees estimates drift up into the print as analysts gain confidence.</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ERIE has significantly underperformed both the S&amp;P 500 and the KIE Insurance ETF since Q1 2026 earnings — down ~3% vs. SPY +4.5% and KIE +13% — driven by multiple compression on a premium-valued name following the EPS miss, with the stock touching a post-earnings low of ~$204 before recovering; the recent bounce to ~$242 appears sentiment/sector-driven rather than fundamental revision-driven.</w:t>
      </w:r>
    </w:p>
    <w:p>
      <w:r>
        <w:drawing>
          <wp:inline xmlns:a="http://schemas.openxmlformats.org/drawingml/2006/main" xmlns:pic="http://schemas.openxmlformats.org/drawingml/2006/picture">
            <wp:extent cx="5943600" cy="4245429"/>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5943600" cy="4245429"/>
                    </a:xfrm>
                    <a:prstGeom prst="rect"/>
                  </pic:spPr>
                </pic:pic>
              </a:graphicData>
            </a:graphic>
          </wp:inline>
        </w:drawing>
      </w:r>
    </w:p>
    <w:p>
      <w:pPr>
        <w:jc w:val="center"/>
      </w:pPr>
      <w:r>
        <w:rPr>
          <w:i/>
          <w:color w:val="666666"/>
          <w:sz w:val="18"/>
        </w:rPr>
        <w:t>ERIE vs. KIE (Insurance ETF) vs. S&amp;P 500 (SPY) — Indexed to 100 at Q1 2026 Earnings Date (April 23, 2026). KIE = SPDR S&amp;P Insurance ETF, the primary sub-sector ETF for P&amp;C insurers.</w:t>
      </w:r>
    </w:p>
    <w:p>
      <w:r>
        <w:rPr>
          <w:rFonts w:ascii="Calibri" w:hAnsi="Calibri"/>
          <w:b/>
          <w:color w:val="525866"/>
          <w:sz w:val="22"/>
        </w:rPr>
        <w:t xml:space="preserve">Key observations: </w:t>
      </w:r>
      <w:r>
        <w:rPr>
          <w:rFonts w:ascii="Calibri" w:hAnsi="Calibri"/>
          <w:color w:val="525866"/>
          <w:sz w:val="22"/>
        </w:rPr>
        <w:t>(1) ERIE sold off sharply the day after Q1 2026 earnings (Apr 24), dropping from $248.90 to $233.62 (-6.1%) as the EPS miss and premium growth deceleration disappointed. (2) The stock continued to drift lower through early June, reaching a trough near $207 (indexed ~83) as the sector also softened. (3) A notable recovery began in early June, coinciding with the large insider purchase by 10% owner Elizabeth Vorsheck (3,000 shares on June 2). (4) ERIE rallied sharply in early July (reaching ~$259 on July 2, indexed ~104) before pulling back again to ~$210 in mid-July around the Q2 earnings announcement date (July 17). (5) The stock has since recovered to ~$242 as of July 28. Throughout the period, KIE (Insurance ETF) significantly outperformed ERIE, reflecting that the sector tailwind from improving P&amp;C profitability has not fully accrued to ERIE given its unique fee-based model and competitive headwinds. The S&amp;P 500 (SPY) also outperformed ERIE over the period.</w:t>
      </w:r>
    </w:p>
    <w:p>
      <w:r>
        <w:br w:type="page"/>
      </w:r>
    </w:p>
    <w:p>
      <w:pPr>
        <w:pStyle w:val="Heading2"/>
      </w:pPr>
      <w:r>
        <w:rPr>
          <w:rFonts w:ascii="Calibri" w:hAnsi="Calibri"/>
          <w:b/>
          <w:color w:val="3B4259"/>
          <w:sz w:val="28"/>
        </w:rPr>
        <w:t>6. Peer Commentaries — Q2 2026 Read-Through</w:t>
      </w:r>
    </w:p>
    <w:p>
      <w:r>
        <w:rPr>
          <w:rFonts w:ascii="Calibri" w:hAnsi="Calibri"/>
          <w:b/>
          <w:color w:val="525866"/>
          <w:sz w:val="22"/>
        </w:rPr>
        <w:t xml:space="preserve">Key Takeaway: </w:t>
      </w:r>
      <w:r>
        <w:rPr>
          <w:rFonts w:ascii="Calibri" w:hAnsi="Calibri"/>
          <w:color w:val="525866"/>
          <w:sz w:val="22"/>
        </w:rPr>
        <w:t>Q2 2026 peer earnings from Travelers (TRV), Chubb (CB), and The Hartford (HIG) paint a broadly positive picture for P&amp;C underwriting profitability — combined ratios in the low-to-mid 80s, favorable prior-year reserve development, and modest catastrophe losses — which is a constructive read-through for ERIE’s Exchange combined ratio improvement. However, all three peers flagged an increasingly competitive personal lines market with elevated shopping, moderating pricing, and policy count pressure, directly corroborating ERIE’s Q1 2026 competitive headwind narrative and suggesting premium growth deceleration will persist into Q2.</w:t>
      </w:r>
    </w:p>
    <w:p>
      <w:pPr>
        <w:pStyle w:val="Heading3"/>
      </w:pPr>
      <w:r>
        <w:rPr>
          <w:rFonts w:ascii="Calibri" w:hAnsi="Calibri"/>
          <w:b/>
          <w:color w:val="3B4259"/>
          <w:sz w:val="24"/>
        </w:rPr>
        <w:t>Travelers (TRV) — Q2 2026 Earnings (Reported July 17, 2026)</w:t>
      </w:r>
    </w:p>
    <w:p>
      <w:pPr>
        <w:pStyle w:val="ListBullet"/>
        <w:ind w:left="360" w:hanging="360"/>
      </w:pPr>
      <w:r>
        <w:rPr>
          <w:rFonts w:ascii="Calibri" w:hAnsi="Calibri"/>
          <w:color w:val="525866"/>
          <w:sz w:val="22"/>
        </w:rPr>
        <w:t>Personal Insurance combined ratio: 79.5% (outstanding); underlying combined ratio 77.3%.</w:t>
      </w:r>
      <w:r>
        <w:rPr>
          <w:rFonts w:ascii="Calibri" w:hAnsi="Calibri"/>
          <w:b/>
          <w:color w:val="525866"/>
          <w:sz w:val="22"/>
        </w:rPr>
        <w:t xml:space="preserve"> Read-through: </w:t>
      </w:r>
      <w:r>
        <w:rPr>
          <w:rFonts w:ascii="Calibri" w:hAnsi="Calibri"/>
          <w:color w:val="525866"/>
          <w:sz w:val="22"/>
        </w:rPr>
        <w:t>Catastrophe losses were modest in Q2 2026 for TRV, a strong positive signal for ERIE’s Exchange combined ratio improvement vs. the 116.9% in Q2 2025 (which included 20.7 cat points). If cat losses normalized industry-wide in Q2, ERIE’s combined ratio could improve dramatically.</w:t>
      </w:r>
    </w:p>
    <w:p>
      <w:pPr>
        <w:pStyle w:val="ListBullet"/>
        <w:ind w:left="360" w:hanging="360"/>
      </w:pPr>
      <w:r>
        <w:rPr>
          <w:rFonts w:ascii="Calibri" w:hAnsi="Calibri"/>
          <w:color w:val="525866"/>
          <w:sz w:val="22"/>
        </w:rPr>
        <w:t>Personal auto combined ratio: 82.8% (including 4.5-pt favorable prior-year reserve development); underlying 85.8%, improving 3+ points YoY.</w:t>
      </w:r>
      <w:r>
        <w:rPr>
          <w:rFonts w:ascii="Calibri" w:hAnsi="Calibri"/>
          <w:b/>
          <w:color w:val="525866"/>
          <w:sz w:val="22"/>
        </w:rPr>
        <w:t xml:space="preserve"> Read-through: </w:t>
      </w:r>
      <w:r>
        <w:rPr>
          <w:rFonts w:ascii="Calibri" w:hAnsi="Calibri"/>
          <w:color w:val="525866"/>
          <w:sz w:val="22"/>
        </w:rPr>
        <w:t>Favorable frequency and severity trends in personal auto (improving vehicle technology, advanced safety features) are a positive for ERIE’s auto book, which is its largest line.</w:t>
      </w:r>
    </w:p>
    <w:p>
      <w:pPr>
        <w:pStyle w:val="ListBullet"/>
        <w:ind w:left="360" w:hanging="360"/>
      </w:pPr>
      <w:r>
        <w:rPr>
          <w:rFonts w:ascii="Calibri" w:hAnsi="Calibri"/>
          <w:color w:val="525866"/>
          <w:sz w:val="22"/>
        </w:rPr>
        <w:t>Auto retention: 82%; renewal premium change: flat (moderating from prior periods).</w:t>
      </w:r>
      <w:r>
        <w:rPr>
          <w:rFonts w:ascii="Calibri" w:hAnsi="Calibri"/>
          <w:b/>
          <w:color w:val="525866"/>
          <w:sz w:val="22"/>
        </w:rPr>
        <w:t xml:space="preserve"> Read-through: </w:t>
      </w:r>
      <w:r>
        <w:rPr>
          <w:rFonts w:ascii="Calibri" w:hAnsi="Calibri"/>
          <w:color w:val="525866"/>
          <w:sz w:val="22"/>
        </w:rPr>
        <w:t>TRV’s flat renewal pricing and 82% retention directly corroborate ERIE’s competitive headwind narrative — the industry is moderating rates as profitability improves, which is pressuring ERIE’s above-market pricing and driving retention to 88% (still above TRV but declining).</w:t>
      </w:r>
    </w:p>
    <w:p>
      <w:pPr>
        <w:pStyle w:val="ListBullet"/>
        <w:ind w:left="360" w:hanging="360"/>
      </w:pPr>
      <w:r>
        <w:rPr>
          <w:rFonts w:ascii="Calibri" w:hAnsi="Calibri"/>
          <w:color w:val="525866"/>
          <w:sz w:val="22"/>
        </w:rPr>
        <w:t>TRV CEO on competitive pricing: “Competing on pricing in this business is a fool’s errand.”</w:t>
      </w:r>
      <w:r>
        <w:rPr>
          <w:rFonts w:ascii="Calibri" w:hAnsi="Calibri"/>
          <w:b/>
          <w:color w:val="525866"/>
          <w:sz w:val="22"/>
        </w:rPr>
        <w:t xml:space="preserve"> Read-through: </w:t>
      </w:r>
      <w:r>
        <w:rPr>
          <w:rFonts w:ascii="Calibri" w:hAnsi="Calibri"/>
          <w:color w:val="525866"/>
          <w:sz w:val="22"/>
        </w:rPr>
        <w:t>Consistent with ERIE’s profitability-first approach, but also signals that the competitive dynamic is intensifying as all major carriers achieve rate adequacy simultaneously.</w:t>
      </w:r>
    </w:p>
    <w:p>
      <w:pPr>
        <w:pStyle w:val="ListBullet"/>
        <w:ind w:left="360" w:hanging="360"/>
      </w:pPr>
      <w:r>
        <w:rPr>
          <w:rFonts w:ascii="Calibri" w:hAnsi="Calibri"/>
          <w:color w:val="525866"/>
          <w:sz w:val="22"/>
        </w:rPr>
        <w:t>Homeowners retention: 85%; renewal premium change: 6.6% (moderating as intended).</w:t>
      </w:r>
      <w:r>
        <w:rPr>
          <w:rFonts w:ascii="Calibri" w:hAnsi="Calibri"/>
          <w:b/>
          <w:color w:val="525866"/>
          <w:sz w:val="22"/>
        </w:rPr>
        <w:t xml:space="preserve"> Read-through: </w:t>
      </w:r>
      <w:r>
        <w:rPr>
          <w:rFonts w:ascii="Calibri" w:hAnsi="Calibri"/>
          <w:color w:val="525866"/>
          <w:sz w:val="22"/>
        </w:rPr>
        <w:t>Homeowners profitability remains strong industry-wide, which is positive for ERIE’s property book.</w:t>
      </w:r>
    </w:p>
    <w:p>
      <w:pPr>
        <w:pStyle w:val="ListBullet"/>
        <w:ind w:left="360" w:hanging="360"/>
      </w:pPr>
      <w:r>
        <w:rPr>
          <w:rFonts w:ascii="Calibri" w:hAnsi="Calibri"/>
          <w:color w:val="525866"/>
          <w:sz w:val="22"/>
        </w:rPr>
        <w:t>After-tax catastrophe losses: ~$400M for TRV in Q2 2026 — described as “modest” relative to TRV’s earnings base.</w:t>
      </w:r>
      <w:r>
        <w:rPr>
          <w:rFonts w:ascii="Calibri" w:hAnsi="Calibri"/>
          <w:b/>
          <w:color w:val="525866"/>
          <w:sz w:val="22"/>
        </w:rPr>
        <w:t xml:space="preserve"> Read-through: </w:t>
      </w:r>
      <w:r>
        <w:rPr>
          <w:rFonts w:ascii="Calibri" w:hAnsi="Calibri"/>
          <w:color w:val="525866"/>
          <w:sz w:val="22"/>
        </w:rPr>
        <w:t>Modest cat losses for TRV in Q2 2026 is the single most important read-through for ERIE — it strongly suggests Q2 2026 was not a repeat of Q2 2025’s historically elevated weather quarter, which would be a significant tailwind for ERIE’s combined ratio.</w:t>
      </w:r>
    </w:p>
    <w:p>
      <w:pPr>
        <w:pStyle w:val="Heading3"/>
      </w:pPr>
      <w:r>
        <w:rPr>
          <w:rFonts w:ascii="Calibri" w:hAnsi="Calibri"/>
          <w:b/>
          <w:color w:val="3B4259"/>
          <w:sz w:val="24"/>
        </w:rPr>
        <w:t>Chubb (CB) — Q2 2026 Earnings (Reported July 22, 2026)</w:t>
      </w:r>
    </w:p>
    <w:p>
      <w:pPr>
        <w:pStyle w:val="ListBullet"/>
        <w:ind w:left="360" w:hanging="360"/>
      </w:pPr>
      <w:r>
        <w:rPr>
          <w:rFonts w:ascii="Calibri" w:hAnsi="Calibri"/>
          <w:color w:val="525866"/>
          <w:sz w:val="22"/>
        </w:rPr>
        <w:t>P&amp;C combined ratio: 83.8% (current accident year basis); 82.2% excluding cats.</w:t>
      </w:r>
      <w:r>
        <w:rPr>
          <w:rFonts w:ascii="Calibri" w:hAnsi="Calibri"/>
          <w:b/>
          <w:color w:val="525866"/>
          <w:sz w:val="22"/>
        </w:rPr>
        <w:t xml:space="preserve"> Read-through: </w:t>
      </w:r>
      <w:r>
        <w:rPr>
          <w:rFonts w:ascii="Calibri" w:hAnsi="Calibri"/>
          <w:color w:val="525866"/>
          <w:sz w:val="22"/>
        </w:rPr>
        <w:t>Broad P&amp;C underwriting profitability remains strong across the industry in Q2 2026, consistent with the combined ratio improvement trajectory ERIE has been pursuing.</w:t>
      </w:r>
    </w:p>
    <w:p>
      <w:pPr>
        <w:pStyle w:val="ListBullet"/>
        <w:ind w:left="360" w:hanging="360"/>
      </w:pPr>
      <w:r>
        <w:rPr>
          <w:rFonts w:ascii="Calibri" w:hAnsi="Calibri"/>
          <w:color w:val="525866"/>
          <w:sz w:val="22"/>
        </w:rPr>
        <w:t>Global P&amp;C premiums: +3% overall; +6.3% excluding large account North America property.</w:t>
      </w:r>
      <w:r>
        <w:rPr>
          <w:rFonts w:ascii="Calibri" w:hAnsi="Calibri"/>
          <w:b/>
          <w:color w:val="525866"/>
          <w:sz w:val="22"/>
        </w:rPr>
        <w:t xml:space="preserve"> Read-through: </w:t>
      </w:r>
      <w:r>
        <w:rPr>
          <w:rFonts w:ascii="Calibri" w:hAnsi="Calibri"/>
          <w:color w:val="525866"/>
          <w:sz w:val="22"/>
        </w:rPr>
        <w:t>Premium growth is moderating industry-wide as pricing adequacy is achieved — directly consistent with ERIE’s DWP growth deceleration from +13.9% to +3.6%.</w:t>
      </w:r>
    </w:p>
    <w:p>
      <w:pPr>
        <w:pStyle w:val="ListBullet"/>
        <w:ind w:left="360" w:hanging="360"/>
      </w:pPr>
      <w:r>
        <w:rPr>
          <w:rFonts w:ascii="Calibri" w:hAnsi="Calibri"/>
          <w:color w:val="525866"/>
          <w:sz w:val="22"/>
        </w:rPr>
        <w:t>Soft market conditions spreading beyond property to casualty lines; pricing in numerous casualty areas failing to keep pace with loss costs.</w:t>
      </w:r>
      <w:r>
        <w:rPr>
          <w:rFonts w:ascii="Calibri" w:hAnsi="Calibri"/>
          <w:b/>
          <w:color w:val="525866"/>
          <w:sz w:val="22"/>
        </w:rPr>
        <w:t xml:space="preserve"> Read-through: </w:t>
      </w:r>
      <w:r>
        <w:rPr>
          <w:rFonts w:ascii="Calibri" w:hAnsi="Calibri"/>
          <w:color w:val="525866"/>
          <w:sz w:val="22"/>
        </w:rPr>
        <w:t>A cautionary signal for ERIE’s commercial lines book — if casualty pricing softens while loss costs remain elevated (CB cites 6-7% primary casualty loss cost inflation), ERIE’s commercial combined ratio could face pressure in future quarters.</w:t>
      </w:r>
    </w:p>
    <w:p>
      <w:pPr>
        <w:pStyle w:val="ListBullet"/>
        <w:ind w:left="360" w:hanging="360"/>
      </w:pPr>
      <w:r>
        <w:rPr>
          <w:rFonts w:ascii="Calibri" w:hAnsi="Calibri"/>
          <w:color w:val="525866"/>
          <w:sz w:val="22"/>
        </w:rPr>
        <w:t>U.S. casualty loss costs rising at 6-7% for primary casualty, 9.5-12% for excess casualty annually.</w:t>
      </w:r>
      <w:r>
        <w:rPr>
          <w:rFonts w:ascii="Calibri" w:hAnsi="Calibri"/>
          <w:b/>
          <w:color w:val="525866"/>
          <w:sz w:val="22"/>
        </w:rPr>
        <w:t xml:space="preserve"> Read-through: </w:t>
      </w:r>
      <w:r>
        <w:rPr>
          <w:rFonts w:ascii="Calibri" w:hAnsi="Calibri"/>
          <w:color w:val="525866"/>
          <w:sz w:val="22"/>
        </w:rPr>
        <w:t>Loss cost inflation remains elevated in casualty lines — a risk for ERIE’s commercial auto and general liability books if pricing moderates faster than loss trends.</w:t>
      </w:r>
    </w:p>
    <w:p>
      <w:pPr>
        <w:pStyle w:val="ListBullet"/>
        <w:ind w:left="360" w:hanging="360"/>
      </w:pPr>
      <w:r>
        <w:rPr>
          <w:rFonts w:ascii="Calibri" w:hAnsi="Calibri"/>
          <w:color w:val="525866"/>
          <w:sz w:val="22"/>
        </w:rPr>
        <w:t>Pre-tax catastrophe losses: $475M for CB in Q2 2026, principally from U.S. weather events.</w:t>
      </w:r>
      <w:r>
        <w:rPr>
          <w:rFonts w:ascii="Calibri" w:hAnsi="Calibri"/>
          <w:b/>
          <w:color w:val="525866"/>
          <w:sz w:val="22"/>
        </w:rPr>
        <w:t xml:space="preserve"> Read-through: </w:t>
      </w:r>
      <w:r>
        <w:rPr>
          <w:rFonts w:ascii="Calibri" w:hAnsi="Calibri"/>
          <w:color w:val="525866"/>
          <w:sz w:val="22"/>
        </w:rPr>
        <w:t>CB’s cat losses were manageable relative to its earnings base; the U.S. weather events referenced were not described as historically severe, supporting the view that Q2 2026 was a more normal cat quarter vs. Q2 2025.</w:t>
      </w:r>
    </w:p>
    <w:p>
      <w:pPr>
        <w:pStyle w:val="ListBullet"/>
        <w:ind w:left="360" w:hanging="360"/>
      </w:pPr>
      <w:r>
        <w:rPr>
          <w:rFonts w:ascii="Calibri" w:hAnsi="Calibri"/>
          <w:color w:val="525866"/>
          <w:sz w:val="22"/>
        </w:rPr>
        <w:t>High net worth personal lines: premium growth +6%, renewal retention 90%.</w:t>
      </w:r>
      <w:r>
        <w:rPr>
          <w:rFonts w:ascii="Calibri" w:hAnsi="Calibri"/>
          <w:b/>
          <w:color w:val="525866"/>
          <w:sz w:val="22"/>
        </w:rPr>
        <w:t xml:space="preserve"> Read-through: </w:t>
      </w:r>
      <w:r>
        <w:rPr>
          <w:rFonts w:ascii="Calibri" w:hAnsi="Calibri"/>
          <w:color w:val="525866"/>
          <w:sz w:val="22"/>
        </w:rPr>
        <w:t>Limited direct read-through to ERIE (CB focuses on high net worth vs. ERIE’s standard market), but confirms that well-positioned personal lines franchises can maintain retention even in a competitive environment.</w:t>
      </w:r>
    </w:p>
    <w:p>
      <w:pPr>
        <w:pStyle w:val="Heading3"/>
      </w:pPr>
      <w:r>
        <w:rPr>
          <w:rFonts w:ascii="Calibri" w:hAnsi="Calibri"/>
          <w:b/>
          <w:color w:val="3B4259"/>
          <w:sz w:val="24"/>
        </w:rPr>
        <w:t>The Hartford (HIG) — Q2 2026 Earnings (Reported July 24, 2026)</w:t>
      </w:r>
    </w:p>
    <w:p>
      <w:pPr>
        <w:pStyle w:val="ListBullet"/>
        <w:ind w:left="360" w:hanging="360"/>
      </w:pPr>
      <w:r>
        <w:rPr>
          <w:rFonts w:ascii="Calibri" w:hAnsi="Calibri"/>
          <w:color w:val="525866"/>
          <w:sz w:val="22"/>
        </w:rPr>
        <w:t>Personal insurance underlying combined ratio: 86.3% in auto, improving 1.9 points YoY; earned pricing continues to exceed loss trend.</w:t>
      </w:r>
      <w:r>
        <w:rPr>
          <w:rFonts w:ascii="Calibri" w:hAnsi="Calibri"/>
          <w:b/>
          <w:color w:val="525866"/>
          <w:sz w:val="22"/>
        </w:rPr>
        <w:t xml:space="preserve"> Read-through: </w:t>
      </w:r>
      <w:r>
        <w:rPr>
          <w:rFonts w:ascii="Calibri" w:hAnsi="Calibri"/>
          <w:color w:val="525866"/>
          <w:sz w:val="22"/>
        </w:rPr>
        <w:t>Personal auto profitability continues to improve across the industry as earned pricing catches up to loss trends — a positive signal for ERIE’s auto combined ratio trajectory.</w:t>
      </w:r>
    </w:p>
    <w:p>
      <w:pPr>
        <w:pStyle w:val="ListBullet"/>
        <w:ind w:left="360" w:hanging="360"/>
      </w:pPr>
      <w:r>
        <w:rPr>
          <w:rFonts w:ascii="Calibri" w:hAnsi="Calibri"/>
          <w:color w:val="525866"/>
          <w:sz w:val="22"/>
        </w:rPr>
        <w:t>Personal insurance written premium: -7% overall; auto -10%; home flat.</w:t>
      </w:r>
      <w:r>
        <w:rPr>
          <w:rFonts w:ascii="Calibri" w:hAnsi="Calibri"/>
          <w:b/>
          <w:color w:val="525866"/>
          <w:sz w:val="22"/>
        </w:rPr>
        <w:t xml:space="preserve"> Read-through: </w:t>
      </w:r>
      <w:r>
        <w:rPr>
          <w:rFonts w:ascii="Calibri" w:hAnsi="Calibri"/>
          <w:color w:val="525866"/>
          <w:sz w:val="22"/>
        </w:rPr>
        <w:t>HIG’s personal lines premium decline is more severe than ERIE’s Q1 2026 deceleration (+3.6% DWP), but confirms the industry-wide dynamic: carriers that achieved rate adequacy are now seeing volume pressure as they hold pricing while competitors moderate.</w:t>
      </w:r>
    </w:p>
    <w:p>
      <w:pPr>
        <w:pStyle w:val="ListBullet"/>
        <w:ind w:left="360" w:hanging="360"/>
      </w:pPr>
      <w:r>
        <w:rPr>
          <w:rFonts w:ascii="Calibri" w:hAnsi="Calibri"/>
          <w:color w:val="525866"/>
          <w:sz w:val="22"/>
        </w:rPr>
        <w:t>Auto renewal written pricing: +5.5%; home: +10.4%. Policy count retention improved slightly in auto.</w:t>
      </w:r>
      <w:r>
        <w:rPr>
          <w:rFonts w:ascii="Calibri" w:hAnsi="Calibri"/>
          <w:b/>
          <w:color w:val="525866"/>
          <w:sz w:val="22"/>
        </w:rPr>
        <w:t xml:space="preserve"> Read-through: </w:t>
      </w:r>
      <w:r>
        <w:rPr>
          <w:rFonts w:ascii="Calibri" w:hAnsi="Calibri"/>
          <w:color w:val="525866"/>
          <w:sz w:val="22"/>
        </w:rPr>
        <w:t>HIG is still getting positive pricing in personal lines, suggesting the market hasn’t fully softened yet — ERIE’s average premium per policy grew 8.1% in Q1 2026, consistent with this trend.</w:t>
      </w:r>
    </w:p>
    <w:p>
      <w:pPr>
        <w:pStyle w:val="ListBullet"/>
        <w:ind w:left="360" w:hanging="360"/>
      </w:pPr>
      <w:r>
        <w:rPr>
          <w:rFonts w:ascii="Calibri" w:hAnsi="Calibri"/>
          <w:color w:val="525866"/>
          <w:sz w:val="22"/>
        </w:rPr>
        <w:t>Competition for new business remained elevated and continued to impact growth within the agency channel.</w:t>
      </w:r>
      <w:r>
        <w:rPr>
          <w:rFonts w:ascii="Calibri" w:hAnsi="Calibri"/>
          <w:b/>
          <w:color w:val="525866"/>
          <w:sz w:val="22"/>
        </w:rPr>
        <w:t xml:space="preserve"> Read-through: </w:t>
      </w:r>
      <w:r>
        <w:rPr>
          <w:rFonts w:ascii="Calibri" w:hAnsi="Calibri"/>
          <w:color w:val="525866"/>
          <w:sz w:val="22"/>
        </w:rPr>
        <w:t>Directly corroborates ERIE’s competitive headwind in the independent agent channel — ERIE’s exclusive reliance on independent agents makes it more exposed to this dynamic than direct-channel carriers.</w:t>
      </w:r>
    </w:p>
    <w:p>
      <w:pPr>
        <w:pStyle w:val="ListBullet"/>
        <w:ind w:left="360" w:hanging="360"/>
      </w:pPr>
      <w:r>
        <w:rPr>
          <w:rFonts w:ascii="Calibri" w:hAnsi="Calibri"/>
          <w:color w:val="525866"/>
          <w:sz w:val="22"/>
        </w:rPr>
        <w:t>HIG increased general liability reserves by $46M and commercial auto liability reserves due to higher severity (attorney representation, time limit demands).</w:t>
      </w:r>
      <w:r>
        <w:rPr>
          <w:rFonts w:ascii="Calibri" w:hAnsi="Calibri"/>
          <w:b/>
          <w:color w:val="525866"/>
          <w:sz w:val="22"/>
        </w:rPr>
        <w:t xml:space="preserve"> Read-through: </w:t>
      </w:r>
      <w:r>
        <w:rPr>
          <w:rFonts w:ascii="Calibri" w:hAnsi="Calibri"/>
          <w:color w:val="525866"/>
          <w:sz w:val="22"/>
        </w:rPr>
        <w:t>Social inflation and attorney involvement in casualty lines is an industry-wide issue — a risk for ERIE’s commercial lines reserve adequacy, though ERIE’s personal lines focus limits direct exposure.</w:t>
      </w:r>
    </w:p>
    <w:p>
      <w:pPr>
        <w:pStyle w:val="ListBullet"/>
        <w:ind w:left="360" w:hanging="360"/>
      </w:pPr>
      <w:r>
        <w:rPr>
          <w:rFonts w:ascii="Calibri" w:hAnsi="Calibri"/>
          <w:color w:val="525866"/>
          <w:sz w:val="22"/>
        </w:rPr>
        <w:t>P&amp;C catastrophe losses: $222M before tax in Q2 2026, catastrophe ratio unchanged at 4.9 combined ratio points.</w:t>
      </w:r>
      <w:r>
        <w:rPr>
          <w:rFonts w:ascii="Calibri" w:hAnsi="Calibri"/>
          <w:b/>
          <w:color w:val="525866"/>
          <w:sz w:val="22"/>
        </w:rPr>
        <w:t xml:space="preserve"> Read-through: </w:t>
      </w:r>
      <w:r>
        <w:rPr>
          <w:rFonts w:ascii="Calibri" w:hAnsi="Calibri"/>
          <w:color w:val="525866"/>
          <w:sz w:val="22"/>
        </w:rPr>
        <w:t>HIG’s cat ratio was stable YoY, further supporting the view that Q2 2026 was not an abnormally severe cat quarter — positive for ERIE’s combined ratio comparison vs. Q2 2025.</w:t>
      </w:r>
    </w:p>
    <w:p>
      <w:pPr>
        <w:pStyle w:val="Heading3"/>
      </w:pPr>
      <w:r>
        <w:rPr>
          <w:rFonts w:ascii="Calibri" w:hAnsi="Calibri"/>
          <w:b/>
          <w:color w:val="3B4259"/>
          <w:sz w:val="24"/>
        </w:rPr>
        <w:t>Progressive (PGR) — Q1 2026 Earnings (Reported May 5, 2026) — Q2 2026 Outlook Commentary</w:t>
      </w:r>
    </w:p>
    <w:p>
      <w:r>
        <w:rPr>
          <w:rFonts w:ascii="Calibri" w:hAnsi="Calibri"/>
          <w:b/>
          <w:color w:val="525866"/>
          <w:sz w:val="22"/>
        </w:rPr>
        <w:t xml:space="preserve">Note: </w:t>
      </w:r>
      <w:r>
        <w:rPr>
          <w:rFonts w:ascii="Calibri" w:hAnsi="Calibri"/>
          <w:color w:val="525866"/>
          <w:sz w:val="22"/>
        </w:rPr>
        <w:t>PGR reports monthly and reported Q1 2026 results in May. While Q1 results are not a direct Q2 read-through, PGR’s Q1 call included explicit Q2 2026 outlook commentary and is the most relevant personal auto market data point available.</w:t>
      </w:r>
    </w:p>
    <w:p>
      <w:pPr>
        <w:pStyle w:val="ListBullet"/>
        <w:ind w:left="360" w:hanging="360"/>
      </w:pPr>
      <w:r>
        <w:rPr>
          <w:rFonts w:ascii="Calibri" w:hAnsi="Calibri"/>
          <w:color w:val="525866"/>
          <w:sz w:val="22"/>
        </w:rPr>
        <w:t>PGR gained 1.9 points of personal auto market share in 2025 (to 18.6%), accounting for 86% of top-10 carrier premium growth.</w:t>
      </w:r>
      <w:r>
        <w:rPr>
          <w:rFonts w:ascii="Calibri" w:hAnsi="Calibri"/>
          <w:b/>
          <w:color w:val="525866"/>
          <w:sz w:val="22"/>
        </w:rPr>
        <w:t xml:space="preserve"> Read-through: </w:t>
      </w:r>
      <w:r>
        <w:rPr>
          <w:rFonts w:ascii="Calibri" w:hAnsi="Calibri"/>
          <w:color w:val="525866"/>
          <w:sz w:val="22"/>
        </w:rPr>
        <w:t>Progressive’s aggressive growth posture — taking rate decreases in some states, increasing media spend 20% YoY — is the primary competitive threat to ERIE’s retention and new business. PGR’s market share gains are coming directly at the expense of carriers like ERIE that are holding higher rates.</w:t>
      </w:r>
    </w:p>
    <w:p>
      <w:pPr>
        <w:pStyle w:val="ListBullet"/>
        <w:ind w:left="360" w:hanging="360"/>
      </w:pPr>
      <w:r>
        <w:rPr>
          <w:rFonts w:ascii="Calibri" w:hAnsi="Calibri"/>
          <w:color w:val="525866"/>
          <w:sz w:val="22"/>
        </w:rPr>
        <w:t>Q1 2026 severity: ~3% overall; frequency: flat. Large losses and attorney rep mix impacting bodily injury severity.</w:t>
      </w:r>
      <w:r>
        <w:rPr>
          <w:rFonts w:ascii="Calibri" w:hAnsi="Calibri"/>
          <w:b/>
          <w:color w:val="525866"/>
          <w:sz w:val="22"/>
        </w:rPr>
        <w:t xml:space="preserve"> Read-through: </w:t>
      </w:r>
      <w:r>
        <w:rPr>
          <w:rFonts w:ascii="Calibri" w:hAnsi="Calibri"/>
          <w:color w:val="525866"/>
          <w:sz w:val="22"/>
        </w:rPr>
        <w:t>Moderate severity trends (+3%) and flat frequency are consistent with ERIE’s Q1 2026 combined ratio improvement — if these trends held into Q2, ERIE’s non-cat loss ratio should continue to benefit from rate adequacy.</w:t>
      </w:r>
    </w:p>
    <w:p>
      <w:pPr>
        <w:pStyle w:val="ListBullet"/>
        <w:ind w:left="360" w:hanging="360"/>
      </w:pPr>
      <w:r>
        <w:rPr>
          <w:rFonts w:ascii="Calibri" w:hAnsi="Calibri"/>
          <w:color w:val="525866"/>
          <w:sz w:val="22"/>
        </w:rPr>
        <w:t>Market experiencing “unprecedented shopping” driven by affordability concerns; older, longer-tenured customers entering market.</w:t>
      </w:r>
      <w:r>
        <w:rPr>
          <w:rFonts w:ascii="Calibri" w:hAnsi="Calibri"/>
          <w:b/>
          <w:color w:val="525866"/>
          <w:sz w:val="22"/>
        </w:rPr>
        <w:t xml:space="preserve"> Read-through: </w:t>
      </w:r>
      <w:r>
        <w:rPr>
          <w:rFonts w:ascii="Calibri" w:hAnsi="Calibri"/>
          <w:color w:val="525866"/>
          <w:sz w:val="22"/>
        </w:rPr>
        <w:t>Elevated shopping is the mechanism driving ERIE’s retention decline to 88% — customers are actively comparing prices, and ERIE’s above-market pricing is causing some to switch. This dynamic is unlikely to reverse quickly.</w:t>
      </w:r>
    </w:p>
    <w:p>
      <w:pPr>
        <w:pStyle w:val="ListBullet"/>
        <w:ind w:left="360" w:hanging="360"/>
      </w:pPr>
      <w:r>
        <w:rPr>
          <w:rFonts w:ascii="Calibri" w:hAnsi="Calibri"/>
          <w:color w:val="525866"/>
          <w:sz w:val="22"/>
        </w:rPr>
        <w:t>PGR plans to add more states to property growth mode in Q2 2026; Robinsons (bundled auto+home) segment is a $40-50B top-line opportunity.</w:t>
      </w:r>
      <w:r>
        <w:rPr>
          <w:rFonts w:ascii="Calibri" w:hAnsi="Calibri"/>
          <w:b/>
          <w:color w:val="525866"/>
          <w:sz w:val="22"/>
        </w:rPr>
        <w:t xml:space="preserve"> Read-through: </w:t>
      </w:r>
      <w:r>
        <w:rPr>
          <w:rFonts w:ascii="Calibri" w:hAnsi="Calibri"/>
          <w:color w:val="525866"/>
          <w:sz w:val="22"/>
        </w:rPr>
        <w:t>PGR’s push into bundled auto+home (Robinsons) directly competes with ERIE’s core multi-line customer base — a medium-term competitive threat to ERIE’s retention advantage in bundled policies.</w:t>
      </w:r>
    </w:p>
    <w:p>
      <w:pPr>
        <w:pStyle w:val="ListBullet"/>
        <w:ind w:left="360" w:hanging="360"/>
      </w:pPr>
      <w:r>
        <w:rPr>
          <w:rFonts w:ascii="Calibri" w:hAnsi="Calibri"/>
          <w:color w:val="525866"/>
          <w:sz w:val="22"/>
        </w:rPr>
        <w:t>Competitive environment “remains competitive as it has been for the last 5+ quarters”; industry has “great margins” driving more competition.</w:t>
      </w:r>
      <w:r>
        <w:rPr>
          <w:rFonts w:ascii="Calibri" w:hAnsi="Calibri"/>
          <w:b/>
          <w:color w:val="525866"/>
          <w:sz w:val="22"/>
        </w:rPr>
        <w:t xml:space="preserve"> Read-through: </w:t>
      </w:r>
      <w:r>
        <w:rPr>
          <w:rFonts w:ascii="Calibri" w:hAnsi="Calibri"/>
          <w:color w:val="525866"/>
          <w:sz w:val="22"/>
        </w:rPr>
        <w:t>The soft market in personal auto is a structural headwind for ERIE’s growth recovery — the better the industry’s profitability, the more aggressively competitors will price to grow, making it harder for ERIE to reaccelerate policy count.</w:t>
      </w:r>
    </w:p>
    <w:p>
      <w:pPr>
        <w:pStyle w:val="Heading3"/>
      </w:pPr>
      <w:r>
        <w:rPr>
          <w:rFonts w:ascii="Calibri" w:hAnsi="Calibri"/>
          <w:b/>
          <w:color w:val="3B4259"/>
          <w:sz w:val="24"/>
        </w:rPr>
        <w:t>Peer Read-Through Summary</w:t>
      </w:r>
    </w:p>
    <w:tbl>
      <w:tblPr>
        <w:tblStyle w:val="TableGrid"/>
        <w:tblW w:type="auto" w:w="0"/>
        <w:tblLook w:firstColumn="1" w:firstRow="1" w:lastColumn="0" w:lastRow="0" w:noHBand="0" w:noVBand="1" w:val="04A0"/>
      </w:tblPr>
      <w:tblGrid>
        <w:gridCol w:w="2160"/>
        <w:gridCol w:w="2160"/>
        <w:gridCol w:w="2160"/>
        <w:gridCol w:w="2160"/>
      </w:tblGrid>
      <w:tr>
        <w:tc>
          <w:tcPr>
            <w:tcW w:type="dxa" w:w="2160"/>
            <w:shd w:val="clear" w:color="auto" w:fill="3B4259"/>
          </w:tcPr>
          <w:p>
            <w:r>
              <w:rPr>
                <w:rFonts w:ascii="Calibri" w:hAnsi="Calibri"/>
                <w:b/>
                <w:color w:val="FFFFFF"/>
                <w:sz w:val="22"/>
              </w:rPr>
              <w:t>Theme</w:t>
            </w:r>
          </w:p>
        </w:tc>
        <w:tc>
          <w:tcPr>
            <w:tcW w:type="dxa" w:w="2160"/>
            <w:shd w:val="clear" w:color="auto" w:fill="3B4259"/>
          </w:tcPr>
          <w:p>
            <w:r>
              <w:rPr>
                <w:rFonts w:ascii="Calibri" w:hAnsi="Calibri"/>
                <w:b/>
                <w:color w:val="FFFFFF"/>
                <w:sz w:val="22"/>
              </w:rPr>
              <w:t>Peer Signal</w:t>
            </w:r>
          </w:p>
        </w:tc>
        <w:tc>
          <w:tcPr>
            <w:tcW w:type="dxa" w:w="2160"/>
            <w:shd w:val="clear" w:color="auto" w:fill="3B4259"/>
          </w:tcPr>
          <w:p>
            <w:r>
              <w:rPr>
                <w:rFonts w:ascii="Calibri" w:hAnsi="Calibri"/>
                <w:b/>
                <w:color w:val="FFFFFF"/>
                <w:sz w:val="22"/>
              </w:rPr>
              <w:t>ERIE Implication</w:t>
            </w:r>
          </w:p>
        </w:tc>
        <w:tc>
          <w:tcPr>
            <w:tcW w:type="dxa" w:w="2160"/>
            <w:shd w:val="clear" w:color="auto" w:fill="3B4259"/>
          </w:tcPr>
          <w:p>
            <w:r>
              <w:rPr>
                <w:rFonts w:ascii="Calibri" w:hAnsi="Calibri"/>
                <w:b/>
                <w:color w:val="FFFFFF"/>
                <w:sz w:val="22"/>
              </w:rPr>
              <w:t>Direction</w:t>
            </w:r>
          </w:p>
        </w:tc>
      </w:tr>
      <w:tr>
        <w:tc>
          <w:tcPr>
            <w:tcW w:type="dxa" w:w="2160"/>
          </w:tcPr>
          <w:p>
            <w:r>
              <w:rPr>
                <w:rFonts w:ascii="Calibri" w:hAnsi="Calibri"/>
                <w:sz w:val="22"/>
              </w:rPr>
              <w:t>Q2 2026 Catastrophe Losses</w:t>
            </w:r>
          </w:p>
        </w:tc>
        <w:tc>
          <w:tcPr>
            <w:tcW w:type="dxa" w:w="2160"/>
          </w:tcPr>
          <w:p>
            <w:r>
              <w:rPr>
                <w:rFonts w:ascii="Calibri" w:hAnsi="Calibri"/>
                <w:sz w:val="22"/>
              </w:rPr>
              <w:t>TRV: ~$400M (modest); CB: $475M (manageable); HIG: $222M (stable YoY ratio)</w:t>
            </w:r>
          </w:p>
        </w:tc>
        <w:tc>
          <w:tcPr>
            <w:tcW w:type="dxa" w:w="2160"/>
          </w:tcPr>
          <w:p>
            <w:r>
              <w:rPr>
                <w:rFonts w:ascii="Calibri" w:hAnsi="Calibri"/>
                <w:sz w:val="22"/>
              </w:rPr>
              <w:t>Q2 2026 likely not a repeat of Q2 2025’s 20.7 cat-point quarter — strong combined ratio tailwind for ERIE</w:t>
            </w:r>
          </w:p>
        </w:tc>
        <w:tc>
          <w:tcPr>
            <w:tcW w:type="dxa" w:w="2160"/>
          </w:tcPr>
          <w:p>
            <w:r>
              <w:rPr>
                <w:rFonts w:ascii="Calibri" w:hAnsi="Calibri"/>
                <w:b/>
                <w:color w:val="30A46C"/>
                <w:sz w:val="22"/>
              </w:rPr>
              <w:t>Positive</w:t>
            </w:r>
          </w:p>
        </w:tc>
      </w:tr>
      <w:tr>
        <w:tc>
          <w:tcPr>
            <w:tcW w:type="dxa" w:w="2160"/>
          </w:tcPr>
          <w:p>
            <w:r>
              <w:rPr>
                <w:rFonts w:ascii="Calibri" w:hAnsi="Calibri"/>
                <w:sz w:val="22"/>
              </w:rPr>
              <w:t>Personal Auto Profitability</w:t>
            </w:r>
          </w:p>
        </w:tc>
        <w:tc>
          <w:tcPr>
            <w:tcW w:type="dxa" w:w="2160"/>
          </w:tcPr>
          <w:p>
            <w:r>
              <w:rPr>
                <w:rFonts w:ascii="Calibri" w:hAnsi="Calibri"/>
                <w:sz w:val="22"/>
              </w:rPr>
              <w:t>TRV: 85.8% underlying CR; HIG: 86.3% underlying CR; both improving YoY</w:t>
            </w:r>
          </w:p>
        </w:tc>
        <w:tc>
          <w:tcPr>
            <w:tcW w:type="dxa" w:w="2160"/>
          </w:tcPr>
          <w:p>
            <w:r>
              <w:rPr>
                <w:rFonts w:ascii="Calibri" w:hAnsi="Calibri"/>
                <w:sz w:val="22"/>
              </w:rPr>
              <w:t>Industry auto profitability improving — supports ERIE’s non-cat loss ratio improvement trajectory</w:t>
            </w:r>
          </w:p>
        </w:tc>
        <w:tc>
          <w:tcPr>
            <w:tcW w:type="dxa" w:w="2160"/>
          </w:tcPr>
          <w:p>
            <w:r>
              <w:rPr>
                <w:rFonts w:ascii="Calibri" w:hAnsi="Calibri"/>
                <w:b/>
                <w:color w:val="30A46C"/>
                <w:sz w:val="22"/>
              </w:rPr>
              <w:t>Positive</w:t>
            </w:r>
          </w:p>
        </w:tc>
      </w:tr>
      <w:tr>
        <w:tc>
          <w:tcPr>
            <w:tcW w:type="dxa" w:w="2160"/>
          </w:tcPr>
          <w:p>
            <w:r>
              <w:rPr>
                <w:rFonts w:ascii="Calibri" w:hAnsi="Calibri"/>
                <w:sz w:val="22"/>
              </w:rPr>
              <w:t>Frequency &amp; Severity</w:t>
            </w:r>
          </w:p>
        </w:tc>
        <w:tc>
          <w:tcPr>
            <w:tcW w:type="dxa" w:w="2160"/>
          </w:tcPr>
          <w:p>
            <w:r>
              <w:rPr>
                <w:rFonts w:ascii="Calibri" w:hAnsi="Calibri"/>
                <w:sz w:val="22"/>
              </w:rPr>
              <w:t>PGR: severity ~3%, frequency flat; TRV: favorable across coverages</w:t>
            </w:r>
          </w:p>
        </w:tc>
        <w:tc>
          <w:tcPr>
            <w:tcW w:type="dxa" w:w="2160"/>
          </w:tcPr>
          <w:p>
            <w:r>
              <w:rPr>
                <w:rFonts w:ascii="Calibri" w:hAnsi="Calibri"/>
                <w:sz w:val="22"/>
              </w:rPr>
              <w:t>Moderate loss cost environment supports ERIE’s rate adequacy thesis</w:t>
            </w:r>
          </w:p>
        </w:tc>
        <w:tc>
          <w:tcPr>
            <w:tcW w:type="dxa" w:w="2160"/>
          </w:tcPr>
          <w:p>
            <w:r>
              <w:rPr>
                <w:rFonts w:ascii="Calibri" w:hAnsi="Calibri"/>
                <w:b/>
                <w:color w:val="30A46C"/>
                <w:sz w:val="22"/>
              </w:rPr>
              <w:t>Positive</w:t>
            </w:r>
          </w:p>
        </w:tc>
      </w:tr>
      <w:tr>
        <w:tc>
          <w:tcPr>
            <w:tcW w:type="dxa" w:w="2160"/>
          </w:tcPr>
          <w:p>
            <w:r>
              <w:rPr>
                <w:rFonts w:ascii="Calibri" w:hAnsi="Calibri"/>
                <w:sz w:val="22"/>
              </w:rPr>
              <w:t>Competitive Environment / Pricing</w:t>
            </w:r>
          </w:p>
        </w:tc>
        <w:tc>
          <w:tcPr>
            <w:tcW w:type="dxa" w:w="2160"/>
          </w:tcPr>
          <w:p>
            <w:r>
              <w:rPr>
                <w:rFonts w:ascii="Calibri" w:hAnsi="Calibri"/>
                <w:sz w:val="22"/>
              </w:rPr>
              <w:t>TRV: flat renewal pricing; HIG: +5.5% auto; PGR: taking rate decreases in some states; CB: soft market spreading to casualty</w:t>
            </w:r>
          </w:p>
        </w:tc>
        <w:tc>
          <w:tcPr>
            <w:tcW w:type="dxa" w:w="2160"/>
          </w:tcPr>
          <w:p>
            <w:r>
              <w:rPr>
                <w:rFonts w:ascii="Calibri" w:hAnsi="Calibri"/>
                <w:sz w:val="22"/>
              </w:rPr>
              <w:t>Competitive headwind for ERIE’s retention and new business is industry-confirmed; policy count pressure likely to persist</w:t>
            </w:r>
          </w:p>
        </w:tc>
        <w:tc>
          <w:tcPr>
            <w:tcW w:type="dxa" w:w="2160"/>
          </w:tcPr>
          <w:p>
            <w:r>
              <w:rPr>
                <w:rFonts w:ascii="Calibri" w:hAnsi="Calibri"/>
                <w:b/>
                <w:color w:val="E5484D"/>
                <w:sz w:val="22"/>
              </w:rPr>
              <w:t>Negative</w:t>
            </w:r>
          </w:p>
        </w:tc>
      </w:tr>
      <w:tr>
        <w:tc>
          <w:tcPr>
            <w:tcW w:type="dxa" w:w="2160"/>
          </w:tcPr>
          <w:p>
            <w:r>
              <w:rPr>
                <w:rFonts w:ascii="Calibri" w:hAnsi="Calibri"/>
                <w:sz w:val="22"/>
              </w:rPr>
              <w:t>Premium Growth</w:t>
            </w:r>
          </w:p>
        </w:tc>
        <w:tc>
          <w:tcPr>
            <w:tcW w:type="dxa" w:w="2160"/>
          </w:tcPr>
          <w:p>
            <w:r>
              <w:rPr>
                <w:rFonts w:ascii="Calibri" w:hAnsi="Calibri"/>
                <w:sz w:val="22"/>
              </w:rPr>
              <w:t>TRV: NWP +3% personal; HIG: personal -7%; CB: global P&amp;C +3%</w:t>
            </w:r>
          </w:p>
        </w:tc>
        <w:tc>
          <w:tcPr>
            <w:tcW w:type="dxa" w:w="2160"/>
          </w:tcPr>
          <w:p>
            <w:r>
              <w:rPr>
                <w:rFonts w:ascii="Calibri" w:hAnsi="Calibri"/>
                <w:sz w:val="22"/>
              </w:rPr>
              <w:t>Industry-wide DWP deceleration confirms ERIE’s +3.6% Q1 2026 growth is not company-specific; further deceleration likely in Q2</w:t>
            </w:r>
          </w:p>
        </w:tc>
        <w:tc>
          <w:tcPr>
            <w:tcW w:type="dxa" w:w="2160"/>
          </w:tcPr>
          <w:p>
            <w:r>
              <w:rPr>
                <w:rFonts w:ascii="Calibri" w:hAnsi="Calibri"/>
                <w:b/>
                <w:color w:val="002FA7"/>
                <w:sz w:val="22"/>
              </w:rPr>
              <w:t>Neutral</w:t>
            </w:r>
          </w:p>
        </w:tc>
      </w:tr>
      <w:tr>
        <w:tc>
          <w:tcPr>
            <w:tcW w:type="dxa" w:w="2160"/>
          </w:tcPr>
          <w:p>
            <w:r>
              <w:rPr>
                <w:rFonts w:ascii="Calibri" w:hAnsi="Calibri"/>
                <w:sz w:val="22"/>
              </w:rPr>
              <w:t>Casualty Reserve Adequacy</w:t>
            </w:r>
          </w:p>
        </w:tc>
        <w:tc>
          <w:tcPr>
            <w:tcW w:type="dxa" w:w="2160"/>
          </w:tcPr>
          <w:p>
            <w:r>
              <w:rPr>
                <w:rFonts w:ascii="Calibri" w:hAnsi="Calibri"/>
                <w:sz w:val="22"/>
              </w:rPr>
              <w:t>HIG: +$46M GL reserve addition; CB: casualty loss costs 6-12% annually; PGR: attorney rep mix impacting BI severity</w:t>
            </w:r>
          </w:p>
        </w:tc>
        <w:tc>
          <w:tcPr>
            <w:tcW w:type="dxa" w:w="2160"/>
          </w:tcPr>
          <w:p>
            <w:r>
              <w:rPr>
                <w:rFonts w:ascii="Calibri" w:hAnsi="Calibri"/>
                <w:sz w:val="22"/>
              </w:rPr>
              <w:t>Social inflation and casualty reserve risk is an industry-wide watch item; ERIE’s commercial lines exposure warrants monitoring</w:t>
            </w:r>
          </w:p>
        </w:tc>
        <w:tc>
          <w:tcPr>
            <w:tcW w:type="dxa" w:w="2160"/>
          </w:tcPr>
          <w:p>
            <w:r>
              <w:rPr>
                <w:rFonts w:ascii="Calibri" w:hAnsi="Calibri"/>
                <w:b/>
                <w:color w:val="E5484D"/>
                <w:sz w:val="22"/>
              </w:rPr>
              <w:t>Negative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2026 earnings is the dual leadership transition — CEO Tim NeCastro’s planned year-end 2026 retirement and the new board chairman Jonathan Hirt Hagen — which introduces succession uncertainty into an already complex operating environment; separately, the Erie Secure Auto rollout is the key product catalyst to watch for evidence of growth reacceleration.</w:t>
      </w:r>
    </w:p>
    <w:p>
      <w:pPr>
        <w:pStyle w:val="ListBullet"/>
        <w:ind w:left="360" w:hanging="360"/>
      </w:pPr>
      <w:r>
        <w:rPr>
          <w:rFonts w:ascii="Calibri" w:hAnsi="Calibri"/>
          <w:b/>
          <w:color w:val="525866"/>
          <w:sz w:val="22"/>
        </w:rPr>
        <w:t xml:space="preserve">Apr 23, 2026 — Q1 2026 Earnings Miss: </w:t>
      </w:r>
      <w:r>
        <w:rPr>
          <w:rFonts w:ascii="Calibri" w:hAnsi="Calibri"/>
          <w:color w:val="525866"/>
          <w:sz w:val="22"/>
        </w:rPr>
        <w:t xml:space="preserve">ERIE reported EPS of $2.88 vs. consensus $3.06 (-$0.18, -5.9%); revenue of $1.01B vs. expected $1.23B. Stock declined ~6% the following day. Key drivers: DWP growth decelerated sharply to +3.6% (from +13.9% in Q1 2025); policies in force -1.7% YoY; retention fell to 88%. Positive: combined ratio improved to 99.4% from 108.1% in Q1 2025. </w:t>
      </w:r>
      <w:r>
        <w:rPr>
          <w:rFonts w:ascii="Calibri" w:hAnsi="Calibri"/>
          <w:b/>
          <w:color w:val="525866"/>
          <w:sz w:val="22"/>
        </w:rPr>
        <w:t xml:space="preserve">Implication: </w:t>
      </w:r>
      <w:r>
        <w:rPr>
          <w:rFonts w:ascii="Calibri" w:hAnsi="Calibri"/>
          <w:color w:val="525866"/>
          <w:sz w:val="22"/>
        </w:rPr>
        <w:t>Sets a low bar for Q2 2026 but confirms the growth-vs.-profitability tension is real and ongoing.</w:t>
      </w:r>
    </w:p>
    <w:p>
      <w:pPr>
        <w:pStyle w:val="ListBullet"/>
        <w:ind w:left="360" w:hanging="360"/>
      </w:pPr>
      <w:r>
        <w:rPr>
          <w:rFonts w:ascii="Calibri" w:hAnsi="Calibri"/>
          <w:b/>
          <w:color w:val="525866"/>
          <w:sz w:val="22"/>
        </w:rPr>
        <w:t xml:space="preserve">Apr 23, 2026 — Board Leadership Transition: </w:t>
      </w:r>
      <w:r>
        <w:rPr>
          <w:rFonts w:ascii="Calibri" w:hAnsi="Calibri"/>
          <w:color w:val="525866"/>
          <w:sz w:val="22"/>
        </w:rPr>
        <w:t xml:space="preserve">Tom Hagen stepped down as Chairman after 20+ years; Jonathan Hirt Hagen (grandson of co-founder H.O. Hirt, son of Tom Hagen) unanimously elected Chairman on April 19. Tom Hagen continues as Chairman Emeritus and Chair of the Executive Committee. New director William Edwards (attorney, Taft) also joined the board. </w:t>
      </w:r>
      <w:r>
        <w:rPr>
          <w:rFonts w:ascii="Calibri" w:hAnsi="Calibri"/>
          <w:b/>
          <w:color w:val="525866"/>
          <w:sz w:val="22"/>
        </w:rPr>
        <w:t xml:space="preserve">Implication: </w:t>
      </w:r>
      <w:r>
        <w:rPr>
          <w:rFonts w:ascii="Calibri" w:hAnsi="Calibri"/>
          <w:color w:val="525866"/>
          <w:sz w:val="22"/>
        </w:rPr>
        <w:t>Founding family retains control; governance continuity maintained, but the transition adds a layer of uncertainty alongside the CEO succession.</w:t>
      </w:r>
    </w:p>
    <w:p>
      <w:pPr>
        <w:pStyle w:val="ListBullet"/>
        <w:ind w:left="360" w:hanging="360"/>
      </w:pPr>
      <w:r>
        <w:rPr>
          <w:rFonts w:ascii="Calibri" w:hAnsi="Calibri"/>
          <w:b/>
          <w:color w:val="525866"/>
          <w:sz w:val="22"/>
        </w:rPr>
        <w:t xml:space="preserve">Apr 23, 2026 — CEO Retirement Announcement: </w:t>
      </w:r>
      <w:r>
        <w:rPr>
          <w:rFonts w:ascii="Calibri" w:hAnsi="Calibri"/>
          <w:color w:val="525866"/>
          <w:sz w:val="22"/>
        </w:rPr>
        <w:t xml:space="preserve">President &amp; CEO Timothy NeCastro announced his intention to retire from Erie at the end of 2026. No successor has been named publicly. </w:t>
      </w:r>
      <w:r>
        <w:rPr>
          <w:rFonts w:ascii="Calibri" w:hAnsi="Calibri"/>
          <w:b/>
          <w:color w:val="525866"/>
          <w:sz w:val="22"/>
        </w:rPr>
        <w:t xml:space="preserve">Implication: </w:t>
      </w:r>
      <w:r>
        <w:rPr>
          <w:rFonts w:ascii="Calibri" w:hAnsi="Calibri"/>
          <w:color w:val="525866"/>
          <w:sz w:val="22"/>
        </w:rPr>
        <w:t>Succession uncertainty is a meaningful overhang — the incoming CEO will inherit a business at a critical inflection point (profitability recovery + growth reacceleration) and may signal a strategic shift in tone or priorities.</w:t>
      </w:r>
    </w:p>
    <w:p>
      <w:pPr>
        <w:pStyle w:val="ListBullet"/>
        <w:ind w:left="360" w:hanging="360"/>
      </w:pPr>
      <w:r>
        <w:rPr>
          <w:rFonts w:ascii="Calibri" w:hAnsi="Calibri"/>
          <w:b/>
          <w:color w:val="525866"/>
          <w:sz w:val="22"/>
        </w:rPr>
        <w:t xml:space="preserve">Q2 2026 — Erie Secure Auto Expansion: </w:t>
      </w:r>
      <w:r>
        <w:rPr>
          <w:rFonts w:ascii="Calibri" w:hAnsi="Calibri"/>
          <w:color w:val="525866"/>
          <w:sz w:val="22"/>
        </w:rPr>
        <w:t xml:space="preserve">Following a successful Ohio pilot and Q1 2026 expansion into Virginia and West Virginia, management guided to introducing Erie Secure Auto in four additional states in Q2 2026, with continued expansion through year-end. The product showed positive impact on submissions and premium in early states. </w:t>
      </w:r>
      <w:r>
        <w:rPr>
          <w:rFonts w:ascii="Calibri" w:hAnsi="Calibri"/>
          <w:b/>
          <w:color w:val="525866"/>
          <w:sz w:val="22"/>
        </w:rPr>
        <w:t xml:space="preserve">Implication: </w:t>
      </w:r>
      <w:r>
        <w:rPr>
          <w:rFonts w:ascii="Calibri" w:hAnsi="Calibri"/>
          <w:color w:val="525866"/>
          <w:sz w:val="22"/>
        </w:rPr>
        <w:t>The single most important organic growth catalyst; Q2 2026 results will provide the first multi-state data on whether Erie Secure Auto can meaningfully reverse the policy count decline.</w:t>
      </w:r>
    </w:p>
    <w:p>
      <w:pPr>
        <w:pStyle w:val="ListBullet"/>
        <w:ind w:left="360" w:hanging="360"/>
      </w:pPr>
      <w:r>
        <w:rPr>
          <w:rFonts w:ascii="Calibri" w:hAnsi="Calibri"/>
          <w:b/>
          <w:color w:val="525866"/>
          <w:sz w:val="22"/>
        </w:rPr>
        <w:t xml:space="preserve">Q2 2026 — Online Quote Platform Expansion: </w:t>
      </w:r>
      <w:r>
        <w:rPr>
          <w:rFonts w:ascii="Calibri" w:hAnsi="Calibri"/>
          <w:color w:val="525866"/>
          <w:sz w:val="22"/>
        </w:rPr>
        <w:t xml:space="preserve">Launched in Ohio in February 2026; expanded to Maryland, Pennsylvania, Virginia, and West Virginia in May 2026. Designed to improve lead conversion and reduce connection time to agents, integrating with Erie Secure Auto. </w:t>
      </w:r>
      <w:r>
        <w:rPr>
          <w:rFonts w:ascii="Calibri" w:hAnsi="Calibri"/>
          <w:b/>
          <w:color w:val="525866"/>
          <w:sz w:val="22"/>
        </w:rPr>
        <w:t xml:space="preserve">Implication: </w:t>
      </w:r>
      <w:r>
        <w:rPr>
          <w:rFonts w:ascii="Calibri" w:hAnsi="Calibri"/>
          <w:color w:val="525866"/>
          <w:sz w:val="22"/>
        </w:rPr>
        <w:t>Supports the growth reacceleration thesis; early adoption metrics will be a key management commentary item on the Q2 call.</w:t>
      </w:r>
    </w:p>
    <w:p>
      <w:pPr>
        <w:pStyle w:val="ListBullet"/>
        <w:ind w:left="360" w:hanging="360"/>
      </w:pPr>
      <w:r>
        <w:rPr>
          <w:rFonts w:ascii="Calibri" w:hAnsi="Calibri"/>
          <w:b/>
          <w:color w:val="525866"/>
          <w:sz w:val="22"/>
        </w:rPr>
        <w:t xml:space="preserve">Q2 2026 — Business Auto 2.0 Near-Complete Rollout: </w:t>
      </w:r>
      <w:r>
        <w:rPr>
          <w:rFonts w:ascii="Calibri" w:hAnsi="Calibri"/>
          <w:color w:val="525866"/>
          <w:sz w:val="22"/>
        </w:rPr>
        <w:t xml:space="preserve">Expanded to North Carolina, Virginia, Maryland, and D.C. in Q1 2026; New York is the only remaining state. </w:t>
      </w:r>
      <w:r>
        <w:rPr>
          <w:rFonts w:ascii="Calibri" w:hAnsi="Calibri"/>
          <w:b/>
          <w:color w:val="525866"/>
          <w:sz w:val="22"/>
        </w:rPr>
        <w:t xml:space="preserve">Implication: </w:t>
      </w:r>
      <w:r>
        <w:rPr>
          <w:rFonts w:ascii="Calibri" w:hAnsi="Calibri"/>
          <w:color w:val="525866"/>
          <w:sz w:val="22"/>
        </w:rPr>
        <w:t>Commercial lines modernization is essentially complete; management can now focus on driving adoption and underwriting efficiency gains.</w:t>
      </w:r>
    </w:p>
    <w:p>
      <w:pPr>
        <w:pStyle w:val="ListBullet"/>
        <w:ind w:left="360" w:hanging="360"/>
      </w:pPr>
      <w:r>
        <w:rPr>
          <w:rFonts w:ascii="Calibri" w:hAnsi="Calibri"/>
          <w:b/>
          <w:color w:val="525866"/>
          <w:sz w:val="22"/>
        </w:rPr>
        <w:t xml:space="preserve">Jun 2, 2026 — Significant Insider Purchase: </w:t>
      </w:r>
      <w:r>
        <w:rPr>
          <w:rFonts w:ascii="Calibri" w:hAnsi="Calibri"/>
          <w:color w:val="525866"/>
          <w:sz w:val="22"/>
        </w:rPr>
        <w:t xml:space="preserve">10% owner and Director Elizabeth Vorsheck purchased 3,000 shares of Class A Common Stock at approximately $207-$210/share (near the post-earnings trough), adding ~$621K-$630K to her trust’s position (now 267,081 shares). </w:t>
      </w:r>
      <w:r>
        <w:rPr>
          <w:rFonts w:ascii="Calibri" w:hAnsi="Calibri"/>
          <w:b/>
          <w:color w:val="525866"/>
          <w:sz w:val="22"/>
        </w:rPr>
        <w:t xml:space="preserve">Implication: </w:t>
      </w:r>
      <w:r>
        <w:rPr>
          <w:rFonts w:ascii="Calibri" w:hAnsi="Calibri"/>
          <w:color w:val="525866"/>
          <w:sz w:val="22"/>
        </w:rPr>
        <w:t>The largest open-market buy in the period; a 10% owner purchasing near the 52-week low is a meaningful positive signal on valuation.</w:t>
      </w:r>
    </w:p>
    <w:p>
      <w:pPr>
        <w:pStyle w:val="ListBullet"/>
        <w:ind w:left="360" w:hanging="360"/>
      </w:pPr>
      <w:r>
        <w:rPr>
          <w:rFonts w:ascii="Calibri" w:hAnsi="Calibri"/>
          <w:b/>
          <w:color w:val="525866"/>
          <w:sz w:val="22"/>
        </w:rPr>
        <w:t xml:space="preserve">May 4, 2026 — Zacks Research Downgrade: </w:t>
      </w:r>
      <w:r>
        <w:rPr>
          <w:rFonts w:ascii="Calibri" w:hAnsi="Calibri"/>
          <w:color w:val="525866"/>
          <w:sz w:val="22"/>
        </w:rPr>
        <w:t xml:space="preserve">Zacks Research downgraded ERIE from Hold to Strong Sell. </w:t>
      </w:r>
      <w:r>
        <w:rPr>
          <w:rFonts w:ascii="Calibri" w:hAnsi="Calibri"/>
          <w:b/>
          <w:color w:val="525866"/>
          <w:sz w:val="22"/>
        </w:rPr>
        <w:t xml:space="preserve">Implication: </w:t>
      </w:r>
      <w:r>
        <w:rPr>
          <w:rFonts w:ascii="Calibri" w:hAnsi="Calibri"/>
          <w:color w:val="525866"/>
          <w:sz w:val="22"/>
        </w:rPr>
        <w:t>Adds to the cautious analyst sentiment; ERIE has only 2 analyst ratings (1 Hold, 1 Sell), reflecting limited sell-side coverage for a company of its size.</w:t>
      </w:r>
    </w:p>
    <w:p>
      <w:pPr>
        <w:pStyle w:val="ListBullet"/>
        <w:ind w:left="360" w:hanging="360"/>
      </w:pPr>
      <w:r>
        <w:rPr>
          <w:rFonts w:ascii="Calibri" w:hAnsi="Calibri"/>
          <w:b/>
          <w:color w:val="525866"/>
          <w:sz w:val="22"/>
        </w:rPr>
        <w:t xml:space="preserve">Apr 14, 2026 — Weiss Ratings Reiterated Hold (C-): </w:t>
      </w:r>
      <w:r>
        <w:rPr>
          <w:rFonts w:ascii="Calibri" w:hAnsi="Calibri"/>
          <w:color w:val="525866"/>
          <w:sz w:val="22"/>
        </w:rPr>
        <w:t xml:space="preserve">Weiss Ratings reiterated its Hold (C-) rating on ERIE. </w:t>
      </w:r>
      <w:r>
        <w:rPr>
          <w:rFonts w:ascii="Calibri" w:hAnsi="Calibri"/>
          <w:b/>
          <w:color w:val="525866"/>
          <w:sz w:val="22"/>
        </w:rPr>
        <w:t xml:space="preserve">Implication: </w:t>
      </w:r>
      <w:r>
        <w:rPr>
          <w:rFonts w:ascii="Calibri" w:hAnsi="Calibri"/>
          <w:color w:val="525866"/>
          <w:sz w:val="22"/>
        </w:rPr>
        <w:t>Consistent with the cautious consensus; no upgrade catalyst identified by the rating agency.</w:t>
      </w:r>
    </w:p>
    <w:p>
      <w:pPr>
        <w:pStyle w:val="ListBullet"/>
        <w:ind w:left="360" w:hanging="360"/>
      </w:pPr>
      <w:r>
        <w:rPr>
          <w:rFonts w:ascii="Calibri" w:hAnsi="Calibri"/>
          <w:b/>
          <w:color w:val="525866"/>
          <w:sz w:val="22"/>
        </w:rPr>
        <w:t xml:space="preserve">Jul 17, 2026 — Q2 2026 Pre-Recorded Conference Call Announced: </w:t>
      </w:r>
      <w:r>
        <w:rPr>
          <w:rFonts w:ascii="Calibri" w:hAnsi="Calibri"/>
          <w:color w:val="525866"/>
          <w:sz w:val="22"/>
        </w:rPr>
        <w:t xml:space="preserve">Erie Indemnity announced it will host a pre-recorded conference call and webcast for Q2 2026 results. Earnings date confirmed as July 30, 2026 (after market close). </w:t>
      </w:r>
      <w:r>
        <w:rPr>
          <w:rFonts w:ascii="Calibri" w:hAnsi="Calibri"/>
          <w:b/>
          <w:color w:val="525866"/>
          <w:sz w:val="22"/>
        </w:rPr>
        <w:t xml:space="preserve">Implication: </w:t>
      </w:r>
      <w:r>
        <w:rPr>
          <w:rFonts w:ascii="Calibri" w:hAnsi="Calibri"/>
          <w:color w:val="525866"/>
          <w:sz w:val="22"/>
        </w:rPr>
        <w:t>ERIE’s pre-recorded format limits real-time Q&amp;A; investors will need to parse the prepared remarks carefully for tone on competitive dynamics and Erie Secure Auto traction.</w:t>
      </w:r>
    </w:p>
    <w:p>
      <w:pPr>
        <w:pStyle w:val="ListBullet"/>
        <w:ind w:left="360" w:hanging="360"/>
      </w:pPr>
      <w:r>
        <w:rPr>
          <w:rFonts w:ascii="Calibri" w:hAnsi="Calibri"/>
          <w:b/>
          <w:color w:val="525866"/>
          <w:sz w:val="22"/>
        </w:rPr>
        <w:t xml:space="preserve">Ongoing — AI Deployment: </w:t>
      </w:r>
      <w:r>
        <w:rPr>
          <w:rFonts w:ascii="Calibri" w:hAnsi="Calibri"/>
          <w:color w:val="525866"/>
          <w:sz w:val="22"/>
        </w:rPr>
        <w:t xml:space="preserve">ERIE has moved from early experimentation to scaled deployment of ChatGPT Enterprise across its employee population; AI being embedded in claims (subrogation case preparation), underwriting, and back-office workflows. More than half of company systems migrated to contemporary platforms. </w:t>
      </w:r>
      <w:r>
        <w:rPr>
          <w:rFonts w:ascii="Calibri" w:hAnsi="Calibri"/>
          <w:b/>
          <w:color w:val="525866"/>
          <w:sz w:val="22"/>
        </w:rPr>
        <w:t xml:space="preserve">Implication: </w:t>
      </w:r>
      <w:r>
        <w:rPr>
          <w:rFonts w:ascii="Calibri" w:hAnsi="Calibri"/>
          <w:color w:val="525866"/>
          <w:sz w:val="22"/>
        </w:rPr>
        <w:t>Expense efficiency gains from AI could support non-commission expense discipline; management cited lower professional fees in Q1 2026 as an early benefit.</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The standout transaction is a significant open-market purchase by 10% owner and Director Elizabeth Vorsheck — 3,000 shares near the post-earnings trough in early June — which is a meaningful positive signal; all other activity consists of routine deferred compensation plan credits and one small discretionary sale by a Senior VP, neither of which is notable.</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 / Value (Est.)</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b/>
                <w:sz w:val="22"/>
              </w:rPr>
              <w:t>Elizabeth A. Vorsheck</w:t>
            </w:r>
          </w:p>
        </w:tc>
        <w:tc>
          <w:tcPr>
            <w:tcW w:type="dxa" w:w="1440"/>
          </w:tcPr>
          <w:p>
            <w:r>
              <w:rPr>
                <w:rFonts w:ascii="Calibri" w:hAnsi="Calibri"/>
                <w:sz w:val="22"/>
              </w:rPr>
              <w:t>10% Owner, Director</w:t>
            </w:r>
          </w:p>
        </w:tc>
        <w:tc>
          <w:tcPr>
            <w:tcW w:type="dxa" w:w="1440"/>
          </w:tcPr>
          <w:p>
            <w:r>
              <w:rPr>
                <w:rFonts w:ascii="Calibri" w:hAnsi="Calibri"/>
                <w:b/>
                <w:color w:val="30A46C"/>
                <w:sz w:val="22"/>
              </w:rPr>
              <w:t>Open Market Buy</w:t>
            </w:r>
          </w:p>
        </w:tc>
        <w:tc>
          <w:tcPr>
            <w:tcW w:type="dxa" w:w="1440"/>
          </w:tcPr>
          <w:p>
            <w:r>
              <w:rPr>
                <w:rFonts w:ascii="Calibri" w:hAnsi="Calibri"/>
                <w:sz w:val="22"/>
              </w:rPr>
              <w:t>3,000 shares / ~$621K–$630K (est. at ~$207–$210/share)</w:t>
            </w:r>
          </w:p>
        </w:tc>
        <w:tc>
          <w:tcPr>
            <w:tcW w:type="dxa" w:w="1440"/>
          </w:tcPr>
          <w:p>
            <w:r>
              <w:rPr>
                <w:rFonts w:ascii="Calibri" w:hAnsi="Calibri"/>
                <w:sz w:val="22"/>
              </w:rPr>
              <w:t>Jun 2, 2026</w:t>
            </w:r>
          </w:p>
        </w:tc>
        <w:tc>
          <w:tcPr>
            <w:tcW w:type="dxa" w:w="1440"/>
          </w:tcPr>
          <w:p>
            <w:r>
              <w:rPr>
                <w:rFonts w:ascii="Calibri" w:hAnsi="Calibri"/>
                <w:sz w:val="22"/>
              </w:rPr>
              <w:t>Purchased via Vorsheck Revocable Trust (indirect); near 52-week low; most significant open-market buy in the period. Discretionary purchase — no 10b5-1 plan.</w:t>
            </w:r>
          </w:p>
        </w:tc>
      </w:tr>
      <w:tr>
        <w:tc>
          <w:tcPr>
            <w:tcW w:type="dxa" w:w="1440"/>
          </w:tcPr>
          <w:p>
            <w:r>
              <w:rPr>
                <w:rFonts w:ascii="Calibri" w:hAnsi="Calibri"/>
                <w:sz w:val="22"/>
              </w:rPr>
              <w:t>Anthony DaBreo</w:t>
            </w:r>
          </w:p>
        </w:tc>
        <w:tc>
          <w:tcPr>
            <w:tcW w:type="dxa" w:w="1440"/>
          </w:tcPr>
          <w:p>
            <w:r>
              <w:rPr>
                <w:rFonts w:ascii="Calibri" w:hAnsi="Calibri"/>
                <w:sz w:val="22"/>
              </w:rPr>
              <w:t>Senior Vice President, Life</w:t>
            </w:r>
          </w:p>
        </w:tc>
        <w:tc>
          <w:tcPr>
            <w:tcW w:type="dxa" w:w="1440"/>
          </w:tcPr>
          <w:p>
            <w:r>
              <w:rPr>
                <w:rFonts w:ascii="Calibri" w:hAnsi="Calibri"/>
                <w:b/>
                <w:color w:val="E5484D"/>
                <w:sz w:val="22"/>
              </w:rPr>
              <w:t>Open Market Sale</w:t>
            </w:r>
          </w:p>
        </w:tc>
        <w:tc>
          <w:tcPr>
            <w:tcW w:type="dxa" w:w="1440"/>
          </w:tcPr>
          <w:p>
            <w:r>
              <w:rPr>
                <w:rFonts w:ascii="Calibri" w:hAnsi="Calibri"/>
                <w:sz w:val="22"/>
              </w:rPr>
              <w:t>465 shares / ~$97K (est. at ~$209/share)</w:t>
            </w:r>
          </w:p>
        </w:tc>
        <w:tc>
          <w:tcPr>
            <w:tcW w:type="dxa" w:w="1440"/>
          </w:tcPr>
          <w:p>
            <w:r>
              <w:rPr>
                <w:rFonts w:ascii="Calibri" w:hAnsi="Calibri"/>
                <w:sz w:val="22"/>
              </w:rPr>
              <w:t>May 8, 2026</w:t>
            </w:r>
          </w:p>
        </w:tc>
        <w:tc>
          <w:tcPr>
            <w:tcW w:type="dxa" w:w="1440"/>
          </w:tcPr>
          <w:p>
            <w:r>
              <w:rPr>
                <w:rFonts w:ascii="Calibri" w:hAnsi="Calibri"/>
                <w:sz w:val="22"/>
              </w:rPr>
              <w:t>Discretionary sale; no 10b5-1 plan indicated. Relatively small in size; reduced position from ~1,374 to ~909 shares. Not flagged as unusual given size.</w:t>
            </w:r>
          </w:p>
        </w:tc>
      </w:tr>
    </w:tbl>
    <w:p>
      <w:r>
        <w:rPr>
          <w:rFonts w:ascii="Calibri" w:hAnsi="Calibri"/>
          <w:b/>
          <w:color w:val="525866"/>
          <w:sz w:val="22"/>
        </w:rPr>
        <w:t xml:space="preserve">Non-Material Activity (Excluded from Table): </w:t>
      </w:r>
      <w:r>
        <w:rPr>
          <w:rFonts w:ascii="Calibri" w:hAnsi="Calibri"/>
          <w:color w:val="525866"/>
          <w:sz w:val="22"/>
        </w:rPr>
        <w:t>The remaining 38 transactions in the period consist entirely of routine deferred compensation plan credits (transaction code “J”) for executives and directors — these are non-cash, plan-driven allocations of share credits under the Incentive Compensation Deferral Plan and Directors’ Deferred Compensation Plan, not open-market purchases or sales. They carry no informational signal about insider sentiment. Participants include CEO Timothy NeCastro, CFO Julie Pelkowski, EVP/General Counsel Brian Bolash, EVPs Cody Cook, Sean Dugan, Sarah Shine, Douglas Smith, SVP/Controller Jorie Novacek, EVP/CIO Parthasarathy Srinivasa, and all board directors.</w:t>
      </w:r>
    </w:p>
    <w:p>
      <w:r>
        <w:rPr>
          <w:rFonts w:ascii="Calibri" w:hAnsi="Calibri"/>
          <w:b/>
          <w:color w:val="525866"/>
          <w:sz w:val="22"/>
        </w:rPr>
        <w:t xml:space="preserve">Bottom Line: </w:t>
      </w:r>
      <w:r>
        <w:rPr>
          <w:rFonts w:ascii="Calibri" w:hAnsi="Calibri"/>
          <w:color w:val="525866"/>
          <w:sz w:val="22"/>
        </w:rPr>
        <w:t>The Vorsheck purchase is the only open-market transaction of note. A 10% owner buying 3,000 shares near the 52-week low ($204.63) in a discretionary, non-plan transaction is a constructive signal — particularly given that the Vorsheck family is among the founding family’s extended network and has deep knowledge of the business. The single SVP sale is immaterial in size and context.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