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Erie Indemnity Company (ERIE)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Ticker</w:t>
            </w:r>
          </w:p>
        </w:tc>
        <w:tc>
          <w:tcPr>
            <w:tcW w:type="dxa" w:w="4320"/>
          </w:tcPr>
          <w:p>
            <w:r>
              <w:rPr>
                <w:rFonts w:ascii="Calibri" w:hAnsi="Calibri"/>
                <w:sz w:val="22"/>
              </w:rPr>
              <w:t>ERIE (NASDAQ)</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Results Release</w:t>
            </w:r>
          </w:p>
        </w:tc>
        <w:tc>
          <w:tcPr>
            <w:tcW w:type="dxa" w:w="4320"/>
          </w:tcPr>
          <w:p>
            <w:r>
              <w:rPr>
                <w:rFonts w:ascii="Calibri" w:hAnsi="Calibri"/>
                <w:sz w:val="22"/>
              </w:rPr>
              <w:t>After market close, Thursday July 30, 2026</w:t>
            </w:r>
          </w:p>
        </w:tc>
      </w:tr>
      <w:tr>
        <w:tc>
          <w:tcPr>
            <w:tcW w:type="dxa" w:w="4320"/>
          </w:tcPr>
          <w:p>
            <w:r>
              <w:rPr>
                <w:rFonts w:ascii="Calibri" w:hAnsi="Calibri"/>
                <w:b/>
                <w:sz w:val="22"/>
              </w:rPr>
              <w:t>Earnings Webcast</w:t>
            </w:r>
          </w:p>
        </w:tc>
        <w:tc>
          <w:tcPr>
            <w:tcW w:type="dxa" w:w="4320"/>
          </w:tcPr>
          <w:p>
            <w:r>
              <w:rPr>
                <w:rFonts w:ascii="Calibri" w:hAnsi="Calibri"/>
                <w:sz w:val="22"/>
              </w:rPr>
              <w:t>Pre-recorded audio, Friday July 31, 2026 at 10:00 a.m. ET (no live Q&amp;A)</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Last Earnings</w:t>
            </w:r>
          </w:p>
        </w:tc>
        <w:tc>
          <w:tcPr>
            <w:tcW w:type="dxa" w:w="4320"/>
          </w:tcPr>
          <w:p>
            <w:r>
              <w:rPr>
                <w:rFonts w:ascii="Calibri" w:hAnsi="Calibri"/>
                <w:sz w:val="22"/>
              </w:rPr>
              <w:t>April 23, 2026 (Q1 2026 results)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mixed — the bar is manageable given Q2 2025 was a clean quarter (no outsized catastrophe events), but the single biggest swing factor is whether catastrophe losses in ERIE's Midwest/Mid-Atlantic footprint were benign or elevated during peak convective storm season, and whether direct written premium growth shows any sequential stabilization after the sharp deceleration in Q1 2026.</w:t>
      </w:r>
    </w:p>
    <w:p>
      <w:r>
        <w:rPr>
          <w:rFonts w:ascii="Calibri" w:hAnsi="Calibri"/>
          <w:color w:val="525866"/>
          <w:sz w:val="22"/>
        </w:rPr>
        <w:t>Heading into Q2 2026, Erie Indemnity faces a quarter where the Exchange's combined ratio trajectory and direct written premium (DWP) growth rate are the two variables that will determine whether the print is received positively. The Q1 2026 combined ratio of 99.4% — a meaningful improvement from 108.1% in Q1 2025 — demonstrated that rate adequacy is taking hold, but the cost was a sharp deceleration in DWP growth to just 3.6% (from 13.9% in Q1 2025) as competitive headwinds intensified. Management's tone on the Q1 call was cautiously optimistic — "early signs of turning a corner" — while acknowledging "more work ahead" on growth, with Erie Secure Auto expanding into four additional states in Q2 and the online quoting platform rolling out across Pennsylvania, Maryland, Virginia, and West Virginia. Peer data from THG, TRV, HIG, and ALL all point to a broadly favorable attritional loss environment in Q2 2026 (favorable auto frequency, below-modeled cat loads at THG), which is a constructive read-through for the Exchange's combined ratio; however, Allstate's $1.72 billion in Q2 catastrophe losses and Chubb's $475 million in weather-related cat losses signal that the quarter was not without weather activity, making ERIE's specific geographic cat experience the key wildcard. The stock is down roughly 30% over the past 12 months and has recovered modestly (+8% over 3 months), suggesting the market has already priced in significant pain — a clean combined ratio print and any stabilization in policy count could be a positive catalyst, while another miss on DWP growth would likely extend the de-rating.</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The combined ratio is the higher-stakes swing factor — Q2 is peak convective storm season in ERIE's core geography, and any deterioration from Q1's 99.4% would be a negative surprise. DWP growth is the second key watch: consensus likely expects a modest sequential improvement from Q1's 3.6%, but the competitive environment (ALL net-neutral pricing, PGR record ad spend) makes stabilization uncertain.</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Diluted EPS (Net Income per Share, Class A)</w:t>
            </w:r>
          </w:p>
        </w:tc>
        <w:tc>
          <w:tcPr>
            <w:tcW w:type="dxa" w:w="1234"/>
          </w:tcPr>
          <w:p>
            <w:r>
              <w:rPr>
                <w:rFonts w:ascii="Calibri" w:hAnsi="Calibri"/>
                <w:sz w:val="22"/>
              </w:rPr>
              <w:t>$2.88</w:t>
            </w:r>
          </w:p>
        </w:tc>
        <w:tc>
          <w:tcPr>
            <w:tcW w:type="dxa" w:w="1234"/>
          </w:tcPr>
          <w:p>
            <w:r>
              <w:rPr>
                <w:rFonts w:ascii="Calibri" w:hAnsi="Calibri"/>
                <w:sz w:val="22"/>
              </w:rPr>
              <w:t>$3.34</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No specific EPS guidance provided</w:t>
            </w:r>
          </w:p>
        </w:tc>
        <w:tc>
          <w:tcPr>
            <w:tcW w:type="dxa" w:w="1234"/>
          </w:tcPr>
          <w:p>
            <w:r>
              <w:rPr>
                <w:rFonts w:ascii="Calibri" w:hAnsi="Calibri"/>
                <w:sz w:val="22"/>
              </w:rPr>
              <w:t>N/A</w:t>
            </w:r>
          </w:p>
        </w:tc>
      </w:tr>
      <w:tr>
        <w:tc>
          <w:tcPr>
            <w:tcW w:type="dxa" w:w="1234"/>
          </w:tcPr>
          <w:p>
            <w:r>
              <w:rPr>
                <w:rFonts w:ascii="Calibri" w:hAnsi="Calibri"/>
                <w:sz w:val="22"/>
              </w:rPr>
              <w:t>Management Fee Revenue — Policy Issuance &amp; Renewal ($M)</w:t>
            </w:r>
          </w:p>
        </w:tc>
        <w:tc>
          <w:tcPr>
            <w:tcW w:type="dxa" w:w="1234"/>
          </w:tcPr>
          <w:p>
            <w:r>
              <w:rPr>
                <w:rFonts w:ascii="Calibri" w:hAnsi="Calibri"/>
                <w:sz w:val="22"/>
              </w:rPr>
              <w:t>$786.5M (est. from +4.2% YoY growth on Q1 2025 base of $754.9M)</w:t>
            </w:r>
          </w:p>
        </w:tc>
        <w:tc>
          <w:tcPr>
            <w:tcW w:type="dxa" w:w="1234"/>
          </w:tcPr>
          <w:p>
            <w:r>
              <w:rPr>
                <w:rFonts w:ascii="Calibri" w:hAnsi="Calibri"/>
                <w:sz w:val="22"/>
              </w:rPr>
              <w:t>$823.9M</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r>
        <w:tc>
          <w:tcPr>
            <w:tcW w:type="dxa" w:w="1234"/>
          </w:tcPr>
          <w:p>
            <w:r>
              <w:rPr>
                <w:rFonts w:ascii="Calibri" w:hAnsi="Calibri"/>
                <w:sz w:val="22"/>
              </w:rPr>
              <w:t>Total Operating Revenue ($M)</w:t>
            </w:r>
          </w:p>
        </w:tc>
        <w:tc>
          <w:tcPr>
            <w:tcW w:type="dxa" w:w="1234"/>
          </w:tcPr>
          <w:p>
            <w:r>
              <w:rPr>
                <w:rFonts w:ascii="Calibri" w:hAnsi="Calibri"/>
                <w:sz w:val="22"/>
              </w:rPr>
              <w:t>~$1,025M (est. from Q1 2026 filing)</w:t>
            </w:r>
          </w:p>
        </w:tc>
        <w:tc>
          <w:tcPr>
            <w:tcW w:type="dxa" w:w="1234"/>
          </w:tcPr>
          <w:p>
            <w:r>
              <w:rPr>
                <w:rFonts w:ascii="Calibri" w:hAnsi="Calibri"/>
                <w:sz w:val="22"/>
              </w:rPr>
              <w:t>$1,060.1M</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r>
        <w:tc>
          <w:tcPr>
            <w:tcW w:type="dxa" w:w="1234"/>
          </w:tcPr>
          <w:p>
            <w:r>
              <w:rPr>
                <w:rFonts w:ascii="Calibri" w:hAnsi="Calibri"/>
                <w:sz w:val="22"/>
              </w:rPr>
              <w:t>Operating Income ($M)</w:t>
            </w:r>
          </w:p>
        </w:tc>
        <w:tc>
          <w:tcPr>
            <w:tcW w:type="dxa" w:w="1234"/>
          </w:tcPr>
          <w:p>
            <w:r>
              <w:rPr>
                <w:rFonts w:ascii="Calibri" w:hAnsi="Calibri"/>
                <w:sz w:val="22"/>
              </w:rPr>
              <w:t>$166.8M</w:t>
            </w:r>
          </w:p>
        </w:tc>
        <w:tc>
          <w:tcPr>
            <w:tcW w:type="dxa" w:w="1234"/>
          </w:tcPr>
          <w:p>
            <w:r>
              <w:rPr>
                <w:rFonts w:ascii="Calibri" w:hAnsi="Calibri"/>
                <w:sz w:val="22"/>
              </w:rPr>
              <w:t>$199.2M</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r>
        <w:tc>
          <w:tcPr>
            <w:tcW w:type="dxa" w:w="1234"/>
          </w:tcPr>
          <w:p>
            <w:r>
              <w:rPr>
                <w:rFonts w:ascii="Calibri" w:hAnsi="Calibri"/>
                <w:sz w:val="22"/>
              </w:rPr>
              <w:t>Net Investment Income ($M)</w:t>
            </w:r>
          </w:p>
        </w:tc>
        <w:tc>
          <w:tcPr>
            <w:tcW w:type="dxa" w:w="1234"/>
          </w:tcPr>
          <w:p>
            <w:r>
              <w:rPr>
                <w:rFonts w:ascii="Calibri" w:hAnsi="Calibri"/>
                <w:sz w:val="22"/>
              </w:rPr>
              <w:t>$23.6M</w:t>
            </w:r>
          </w:p>
        </w:tc>
        <w:tc>
          <w:tcPr>
            <w:tcW w:type="dxa" w:w="1234"/>
          </w:tcPr>
          <w:p>
            <w:r>
              <w:rPr>
                <w:rFonts w:ascii="Calibri" w:hAnsi="Calibri"/>
                <w:sz w:val="22"/>
              </w:rPr>
              <w:t>$20.0M</w:t>
            </w:r>
          </w:p>
        </w:tc>
        <w:tc>
          <w:tcPr>
            <w:tcW w:type="dxa" w:w="1234"/>
          </w:tcPr>
          <w:p>
            <w:r>
              <w:rPr>
                <w:rFonts w:ascii="Calibri" w:hAnsi="Calibri"/>
                <w:sz w:val="22"/>
              </w:rPr>
              <w:t>N/A — not in VA</w:t>
            </w:r>
          </w:p>
        </w:tc>
        <w:tc>
          <w:tcPr>
            <w:tcW w:type="dxa" w:w="1234"/>
          </w:tcPr>
          <w:p>
            <w:r>
              <w:rPr>
                <w:rFonts w:ascii="Calibri" w:hAnsi="Calibri"/>
                <w:sz w:val="22"/>
              </w:rPr>
              <w:t>~+15–20% YoY (peer-implied)</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r>
        <w:tc>
          <w:tcPr>
            <w:tcW w:type="dxa" w:w="1234"/>
          </w:tcPr>
          <w:p>
            <w:r>
              <w:rPr>
                <w:rFonts w:ascii="Calibri" w:hAnsi="Calibri"/>
                <w:sz w:val="22"/>
              </w:rPr>
              <w:t>Exchange Direct Written Premium Growth (YoY %)</w:t>
            </w:r>
          </w:p>
        </w:tc>
        <w:tc>
          <w:tcPr>
            <w:tcW w:type="dxa" w:w="1234"/>
          </w:tcPr>
          <w:p>
            <w:r>
              <w:rPr>
                <w:rFonts w:ascii="Calibri" w:hAnsi="Calibri"/>
                <w:sz w:val="22"/>
              </w:rPr>
              <w:t>+3.6%</w:t>
            </w:r>
          </w:p>
        </w:tc>
        <w:tc>
          <w:tcPr>
            <w:tcW w:type="dxa" w:w="1234"/>
          </w:tcPr>
          <w:p>
            <w:r>
              <w:rPr>
                <w:rFonts w:ascii="Calibri" w:hAnsi="Calibri"/>
                <w:sz w:val="22"/>
              </w:rPr>
              <w:t>~+8.3% (implied from Q2 2025 management fee growth)</w:t>
            </w:r>
          </w:p>
        </w:tc>
        <w:tc>
          <w:tcPr>
            <w:tcW w:type="dxa" w:w="1234"/>
          </w:tcPr>
          <w:p>
            <w:r>
              <w:rPr>
                <w:rFonts w:ascii="Calibri" w:hAnsi="Calibri"/>
                <w:sz w:val="22"/>
              </w:rPr>
              <w:t>N/A — not in VA</w:t>
            </w:r>
          </w:p>
        </w:tc>
        <w:tc>
          <w:tcPr>
            <w:tcW w:type="dxa" w:w="1234"/>
          </w:tcPr>
          <w:p>
            <w:r>
              <w:rPr>
                <w:rFonts w:ascii="Calibri" w:hAnsi="Calibri"/>
                <w:sz w:val="22"/>
              </w:rPr>
              <w:t>Likely +3–5% (peer-implied)</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r>
        <w:tc>
          <w:tcPr>
            <w:tcW w:type="dxa" w:w="1234"/>
          </w:tcPr>
          <w:p>
            <w:r>
              <w:rPr>
                <w:rFonts w:ascii="Calibri" w:hAnsi="Calibri"/>
                <w:sz w:val="22"/>
              </w:rPr>
              <w:t>Exchange Combined Ratio (%)</w:t>
            </w:r>
          </w:p>
        </w:tc>
        <w:tc>
          <w:tcPr>
            <w:tcW w:type="dxa" w:w="1234"/>
          </w:tcPr>
          <w:p>
            <w:r>
              <w:rPr>
                <w:rFonts w:ascii="Calibri" w:hAnsi="Calibri"/>
                <w:sz w:val="22"/>
              </w:rPr>
              <w:t>99.4%</w:t>
            </w:r>
          </w:p>
        </w:tc>
        <w:tc>
          <w:tcPr>
            <w:tcW w:type="dxa" w:w="1234"/>
          </w:tcPr>
          <w:p>
            <w:r>
              <w:rPr>
                <w:rFonts w:ascii="Calibri" w:hAnsi="Calibri"/>
                <w:sz w:val="22"/>
              </w:rPr>
              <w:t>Not separately disclosed by ERIE (Exchange reports separately)</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No specific guidance provided; management targets near-breakeven</w:t>
            </w:r>
          </w:p>
        </w:tc>
        <w:tc>
          <w:tcPr>
            <w:tcW w:type="dxa" w:w="1234"/>
          </w:tcPr>
          <w:p>
            <w:r>
              <w:rPr>
                <w:rFonts w:ascii="Calibri" w:hAnsi="Calibri"/>
                <w:sz w:val="22"/>
              </w:rPr>
              <w:t>N/A</w:t>
            </w:r>
          </w:p>
        </w:tc>
      </w:tr>
      <w:tr>
        <w:tc>
          <w:tcPr>
            <w:tcW w:type="dxa" w:w="1234"/>
          </w:tcPr>
          <w:p>
            <w:r>
              <w:rPr>
                <w:rFonts w:ascii="Calibri" w:hAnsi="Calibri"/>
                <w:sz w:val="22"/>
              </w:rPr>
              <w:t>Policies in Force (YoY % change)</w:t>
            </w:r>
          </w:p>
        </w:tc>
        <w:tc>
          <w:tcPr>
            <w:tcW w:type="dxa" w:w="1234"/>
          </w:tcPr>
          <w:p>
            <w:r>
              <w:rPr>
                <w:rFonts w:ascii="Calibri" w:hAnsi="Calibri"/>
                <w:sz w:val="22"/>
              </w:rPr>
              <w:t>-1.7%</w:t>
            </w:r>
          </w:p>
        </w:tc>
        <w:tc>
          <w:tcPr>
            <w:tcW w:type="dxa" w:w="1234"/>
          </w:tcPr>
          <w:p>
            <w:r>
              <w:rPr>
                <w:rFonts w:ascii="Calibri" w:hAnsi="Calibri"/>
                <w:sz w:val="22"/>
              </w:rPr>
              <w:t>N/A — not separately disclosed</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r>
        <w:tc>
          <w:tcPr>
            <w:tcW w:type="dxa" w:w="1234"/>
          </w:tcPr>
          <w:p>
            <w:r>
              <w:rPr>
                <w:rFonts w:ascii="Calibri" w:hAnsi="Calibri"/>
                <w:sz w:val="22"/>
              </w:rPr>
              <w:t>Retention Rate (%)</w:t>
            </w:r>
          </w:p>
        </w:tc>
        <w:tc>
          <w:tcPr>
            <w:tcW w:type="dxa" w:w="1234"/>
          </w:tcPr>
          <w:p>
            <w:r>
              <w:rPr>
                <w:rFonts w:ascii="Calibri" w:hAnsi="Calibri"/>
                <w:sz w:val="22"/>
              </w:rPr>
              <w:t>88%</w:t>
            </w:r>
          </w:p>
        </w:tc>
        <w:tc>
          <w:tcPr>
            <w:tcW w:type="dxa" w:w="1234"/>
          </w:tcPr>
          <w:p>
            <w:r>
              <w:rPr>
                <w:rFonts w:ascii="Calibri" w:hAnsi="Calibri"/>
                <w:sz w:val="22"/>
              </w:rPr>
              <w:t>N/A — not separately disclosed</w:t>
            </w:r>
          </w:p>
        </w:tc>
        <w:tc>
          <w:tcPr>
            <w:tcW w:type="dxa" w:w="1234"/>
          </w:tcPr>
          <w:p>
            <w:r>
              <w:rPr>
                <w:rFonts w:ascii="Calibri" w:hAnsi="Calibri"/>
                <w:sz w:val="22"/>
              </w:rPr>
              <w:t>N/A — not in VA</w:t>
            </w:r>
          </w:p>
        </w:tc>
        <w:tc>
          <w:tcPr>
            <w:tcW w:type="dxa" w:w="1234"/>
          </w:tcPr>
          <w:p>
            <w:r>
              <w:rPr>
                <w:rFonts w:ascii="Calibri" w:hAnsi="Calibri"/>
                <w:sz w:val="22"/>
              </w:rPr>
              <w:t>N/A</w:t>
            </w:r>
          </w:p>
        </w:tc>
        <w:tc>
          <w:tcPr>
            <w:tcW w:type="dxa" w:w="1234"/>
          </w:tcPr>
          <w:p>
            <w:r>
              <w:rPr>
                <w:rFonts w:ascii="Calibri" w:hAnsi="Calibri"/>
                <w:sz w:val="22"/>
              </w:rPr>
              <w:t>No specific guidance provided</w:t>
            </w:r>
          </w:p>
        </w:tc>
        <w:tc>
          <w:tcPr>
            <w:tcW w:type="dxa" w:w="1234"/>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Visible Alpha does not carry ERIE-specific consensus estimates for most KPIs. Q1 2026 actuals sourced from ERIE Q1 2026 Earnings Release (April 23, 2026) and Q1 2026 Earnings Call transcript (April 24, 2026). Q2 2025 actuals sourced from ERIE Q2 2025 Earnings Release. ERIE does not provide formal numerical guidance for any of the above KPIs. The Exchange's combined ratio and DWP are reported by Erie Insurance Exchange (a separate entity) and disclosed by ERIE management on earnings calls.</w:t>
      </w:r>
    </w:p>
    <w:p>
      <w:pPr>
        <w:pStyle w:val="Heading3"/>
      </w:pPr>
      <w:r>
        <w:rPr>
          <w:rFonts w:ascii="Calibri" w:hAnsi="Calibri"/>
          <w:b/>
          <w:color w:val="3B4259"/>
          <w:sz w:val="24"/>
        </w:rPr>
        <w:t>Table 2 — Beat/Miss History (Last 8 Quarters,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EPS (Diluted)</w:t>
            </w:r>
          </w:p>
        </w:tc>
        <w:tc>
          <w:tcPr>
            <w:tcW w:type="dxa" w:w="1728"/>
            <w:shd w:val="clear" w:color="auto" w:fill="3B4259"/>
          </w:tcPr>
          <w:p>
            <w:r>
              <w:rPr>
                <w:rFonts w:ascii="Calibri" w:hAnsi="Calibri"/>
                <w:b/>
                <w:color w:val="FFFFFF"/>
                <w:sz w:val="22"/>
              </w:rPr>
              <w:t>Consensus Estimate</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$2.88</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Miss (per summary knowledge)</w:t>
            </w:r>
          </w:p>
        </w:tc>
      </w:tr>
      <w:tr>
        <w:tc>
          <w:tcPr>
            <w:tcW w:type="dxa" w:w="1728"/>
          </w:tcPr>
          <w:p>
            <w:r>
              <w:rPr>
                <w:rFonts w:ascii="Calibri" w:hAnsi="Calibri"/>
                <w:sz w:val="22"/>
              </w:rPr>
              <w:t>Q4 2025</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 — not in VA</w:t>
            </w:r>
          </w:p>
        </w:tc>
      </w:tr>
      <w:tr>
        <w:tc>
          <w:tcPr>
            <w:tcW w:type="dxa" w:w="1728"/>
          </w:tcPr>
          <w:p>
            <w:r>
              <w:rPr>
                <w:rFonts w:ascii="Calibri" w:hAnsi="Calibri"/>
                <w:sz w:val="22"/>
              </w:rPr>
              <w:t>Q3 2025</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 — not in VA</w:t>
            </w:r>
          </w:p>
        </w:tc>
      </w:tr>
      <w:tr>
        <w:tc>
          <w:tcPr>
            <w:tcW w:type="dxa" w:w="1728"/>
          </w:tcPr>
          <w:p>
            <w:r>
              <w:rPr>
                <w:rFonts w:ascii="Calibri" w:hAnsi="Calibri"/>
                <w:sz w:val="22"/>
              </w:rPr>
              <w:t>Q2 2025</w:t>
            </w:r>
          </w:p>
        </w:tc>
        <w:tc>
          <w:tcPr>
            <w:tcW w:type="dxa" w:w="1728"/>
          </w:tcPr>
          <w:p>
            <w:r>
              <w:rPr>
                <w:rFonts w:ascii="Calibri" w:hAnsi="Calibri"/>
                <w:sz w:val="22"/>
              </w:rPr>
              <w:t>$3.34 (diluted)</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 — not in VA</w:t>
            </w:r>
          </w:p>
        </w:tc>
      </w:tr>
      <w:tr>
        <w:tc>
          <w:tcPr>
            <w:tcW w:type="dxa" w:w="1728"/>
          </w:tcPr>
          <w:p>
            <w:r>
              <w:rPr>
                <w:rFonts w:ascii="Calibri" w:hAnsi="Calibri"/>
                <w:sz w:val="22"/>
              </w:rPr>
              <w:t>Q1 2025</w:t>
            </w:r>
          </w:p>
        </w:tc>
        <w:tc>
          <w:tcPr>
            <w:tcW w:type="dxa" w:w="1728"/>
          </w:tcPr>
          <w:p>
            <w:r>
              <w:rPr>
                <w:rFonts w:ascii="Calibri" w:hAnsi="Calibri"/>
                <w:sz w:val="22"/>
              </w:rPr>
              <w:t>$2.65 (diluted)</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 — not in VA</w:t>
            </w:r>
          </w:p>
        </w:tc>
      </w:tr>
      <w:tr>
        <w:tc>
          <w:tcPr>
            <w:tcW w:type="dxa" w:w="1728"/>
          </w:tcPr>
          <w:p>
            <w:r>
              <w:rPr>
                <w:rFonts w:ascii="Calibri" w:hAnsi="Calibri"/>
                <w:sz w:val="22"/>
              </w:rPr>
              <w:t>Q4 2024 – Q2 2024</w:t>
            </w:r>
          </w:p>
        </w:tc>
        <w:tc>
          <w:tcPr>
            <w:tcW w:type="dxa" w:w="1728"/>
          </w:tcPr>
          <w:p>
            <w:r>
              <w:rPr>
                <w:rFonts w:ascii="Calibri" w:hAnsi="Calibri"/>
                <w:sz w:val="22"/>
              </w:rPr>
              <w:t>N/A — not in VA</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 — not in VA</w:t>
            </w:r>
          </w:p>
        </w:tc>
      </w:tr>
    </w:tbl>
    <w:p>
      <w:r>
        <w:rPr>
          <w:rFonts w:ascii="Calibri" w:hAnsi="Calibri"/>
          <w:b/>
          <w:color w:val="525866"/>
          <w:sz w:val="22"/>
        </w:rPr>
        <w:t xml:space="preserve">Note: </w:t>
      </w:r>
      <w:r>
        <w:rPr>
          <w:rFonts w:ascii="Calibri" w:hAnsi="Calibri"/>
          <w:color w:val="525866"/>
          <w:sz w:val="22"/>
        </w:rPr>
        <w:t>Visible Alpha does not carry historical ERIE EPS consensus estimates, preventing a full beat/miss history table. Q1 2026 was characterized as a miss on both EPS and revenue per the company summary knowledge. Q2 2025 diluted EPS of $3.34 is sourced from the ERIE Q2 2025 Earnings Release. The Q2 2025 figure represents the prior-year comparable for the upcoming print.</w:t>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ERIE provides no formal numerical guidance for any KPI. The baseline is the Q1 2026 earnings call (April 24, 2026); no post-earnings guidance updates, 8-Ks, or investor day events have been identified since then. The tone on the Q1 call was cautiously optimistic but acknowledged ongoing competitive headwinds.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 Tone (Q1 2026 Earnings Call, Apr 24,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Exchange Combined Ratio</w:t>
            </w:r>
          </w:p>
        </w:tc>
        <w:tc>
          <w:tcPr>
            <w:tcW w:type="dxa" w:w="1728"/>
          </w:tcPr>
          <w:p>
            <w:r>
              <w:rPr>
                <w:rFonts w:ascii="Calibri" w:hAnsi="Calibri"/>
                <w:sz w:val="22"/>
              </w:rPr>
              <w:t>No numerical target; management described Q1 2026 at 99.4% as "early signs of turning a corner" with "more work ahead." Targeting near-breakeven underwriting.</w:t>
            </w:r>
          </w:p>
        </w:tc>
        <w:tc>
          <w:tcPr>
            <w:tcW w:type="dxa" w:w="1728"/>
          </w:tcPr>
          <w:p>
            <w:r>
              <w:rPr>
                <w:rFonts w:ascii="Calibri" w:hAnsi="Calibri"/>
                <w:sz w:val="22"/>
              </w:rPr>
              <w:t>None</w:t>
            </w:r>
          </w:p>
        </w:tc>
        <w:tc>
          <w:tcPr>
            <w:tcW w:type="dxa" w:w="1728"/>
          </w:tcPr>
          <w:p>
            <w:r>
              <w:rPr>
                <w:rFonts w:ascii="Calibri" w:hAnsi="Calibri"/>
                <w:sz w:val="22"/>
              </w:rPr>
              <w:t>N/A — not in VA</w:t>
            </w:r>
          </w:p>
        </w:tc>
        <w:tc>
          <w:tcPr>
            <w:tcW w:type="dxa" w:w="1728"/>
          </w:tcPr>
          <w:p>
            <w:r>
              <w:rPr>
                <w:rFonts w:ascii="Calibri" w:hAnsi="Calibri"/>
                <w:sz w:val="22"/>
              </w:rPr>
              <w:t>No post-Q1 update; tone cautiously optimistic</w:t>
            </w:r>
          </w:p>
        </w:tc>
      </w:tr>
      <w:tr>
        <w:tc>
          <w:tcPr>
            <w:tcW w:type="dxa" w:w="1728"/>
          </w:tcPr>
          <w:p>
            <w:r>
              <w:rPr>
                <w:rFonts w:ascii="Calibri" w:hAnsi="Calibri"/>
                <w:sz w:val="22"/>
              </w:rPr>
              <w:t>DWP Growth</w:t>
            </w:r>
          </w:p>
        </w:tc>
        <w:tc>
          <w:tcPr>
            <w:tcW w:type="dxa" w:w="1728"/>
          </w:tcPr>
          <w:p>
            <w:r>
              <w:rPr>
                <w:rFonts w:ascii="Calibri" w:hAnsi="Calibri"/>
                <w:sz w:val="22"/>
              </w:rPr>
              <w:t>No numerical target; management acknowledged sharp deceleration to 3.6% in Q1 2026 from 13.9% in Q1 2025 due to competitive headwinds from rate adequacy. Expects Erie Secure Auto expansion to support gradual reacceleration.</w:t>
            </w:r>
          </w:p>
        </w:tc>
        <w:tc>
          <w:tcPr>
            <w:tcW w:type="dxa" w:w="1728"/>
          </w:tcPr>
          <w:p>
            <w:r>
              <w:rPr>
                <w:rFonts w:ascii="Calibri" w:hAnsi="Calibri"/>
                <w:sz w:val="22"/>
              </w:rPr>
              <w:t>None</w:t>
            </w:r>
          </w:p>
        </w:tc>
        <w:tc>
          <w:tcPr>
            <w:tcW w:type="dxa" w:w="1728"/>
          </w:tcPr>
          <w:p>
            <w:r>
              <w:rPr>
                <w:rFonts w:ascii="Calibri" w:hAnsi="Calibri"/>
                <w:sz w:val="22"/>
              </w:rPr>
              <w:t>N/A — not in VA</w:t>
            </w:r>
          </w:p>
        </w:tc>
        <w:tc>
          <w:tcPr>
            <w:tcW w:type="dxa" w:w="1728"/>
          </w:tcPr>
          <w:p>
            <w:r>
              <w:rPr>
                <w:rFonts w:ascii="Calibri" w:hAnsi="Calibri"/>
                <w:sz w:val="22"/>
              </w:rPr>
              <w:t>No post-Q1 update; growth trajectory is key watch</w:t>
            </w:r>
          </w:p>
        </w:tc>
      </w:tr>
      <w:tr>
        <w:tc>
          <w:tcPr>
            <w:tcW w:type="dxa" w:w="1728"/>
          </w:tcPr>
          <w:p>
            <w:r>
              <w:rPr>
                <w:rFonts w:ascii="Calibri" w:hAnsi="Calibri"/>
                <w:sz w:val="22"/>
              </w:rPr>
              <w:t>Erie Secure Auto Expansion</w:t>
            </w:r>
          </w:p>
        </w:tc>
        <w:tc>
          <w:tcPr>
            <w:tcW w:type="dxa" w:w="1728"/>
          </w:tcPr>
          <w:p>
            <w:r>
              <w:rPr>
                <w:rFonts w:ascii="Calibri" w:hAnsi="Calibri"/>
                <w:sz w:val="22"/>
              </w:rPr>
              <w:t>Expects to introduce Erie Secure Auto in four additional states in Q2 2026, with continued expansion throughout the remainder of the year.</w:t>
            </w:r>
          </w:p>
        </w:tc>
        <w:tc>
          <w:tcPr>
            <w:tcW w:type="dxa" w:w="1728"/>
          </w:tcPr>
          <w:p>
            <w:r>
              <w:rPr>
                <w:rFonts w:ascii="Calibri" w:hAnsi="Calibri"/>
                <w:sz w:val="22"/>
              </w:rPr>
              <w:t>None</w:t>
            </w:r>
          </w:p>
        </w:tc>
        <w:tc>
          <w:tcPr>
            <w:tcW w:type="dxa" w:w="1728"/>
          </w:tcPr>
          <w:p>
            <w:r>
              <w:rPr>
                <w:rFonts w:ascii="Calibri" w:hAnsi="Calibri"/>
                <w:sz w:val="22"/>
              </w:rPr>
              <w:t>N/A</w:t>
            </w:r>
          </w:p>
        </w:tc>
        <w:tc>
          <w:tcPr>
            <w:tcW w:type="dxa" w:w="1728"/>
          </w:tcPr>
          <w:p>
            <w:r>
              <w:rPr>
                <w:rFonts w:ascii="Calibri" w:hAnsi="Calibri"/>
                <w:sz w:val="22"/>
              </w:rPr>
              <w:t>Execution on this rollout is a key growth catalyst to watch</w:t>
            </w:r>
          </w:p>
        </w:tc>
      </w:tr>
      <w:tr>
        <w:tc>
          <w:tcPr>
            <w:tcW w:type="dxa" w:w="1728"/>
          </w:tcPr>
          <w:p>
            <w:r>
              <w:rPr>
                <w:rFonts w:ascii="Calibri" w:hAnsi="Calibri"/>
                <w:sz w:val="22"/>
              </w:rPr>
              <w:t>Business Auto 2.0 Rollout</w:t>
            </w:r>
          </w:p>
        </w:tc>
        <w:tc>
          <w:tcPr>
            <w:tcW w:type="dxa" w:w="1728"/>
          </w:tcPr>
          <w:p>
            <w:r>
              <w:rPr>
                <w:rFonts w:ascii="Calibri" w:hAnsi="Calibri"/>
                <w:sz w:val="22"/>
              </w:rPr>
              <w:t>One remaining state (New York) to complete the national rollout.</w:t>
            </w:r>
          </w:p>
        </w:tc>
        <w:tc>
          <w:tcPr>
            <w:tcW w:type="dxa" w:w="1728"/>
          </w:tcPr>
          <w:p>
            <w:r>
              <w:rPr>
                <w:rFonts w:ascii="Calibri" w:hAnsi="Calibri"/>
                <w:sz w:val="22"/>
              </w:rPr>
              <w:t>None</w:t>
            </w:r>
          </w:p>
        </w:tc>
        <w:tc>
          <w:tcPr>
            <w:tcW w:type="dxa" w:w="1728"/>
          </w:tcPr>
          <w:p>
            <w:r>
              <w:rPr>
                <w:rFonts w:ascii="Calibri" w:hAnsi="Calibri"/>
                <w:sz w:val="22"/>
              </w:rPr>
              <w:t>N/A</w:t>
            </w:r>
          </w:p>
        </w:tc>
        <w:tc>
          <w:tcPr>
            <w:tcW w:type="dxa" w:w="1728"/>
          </w:tcPr>
          <w:p>
            <w:r>
              <w:rPr>
                <w:rFonts w:ascii="Calibri" w:hAnsi="Calibri"/>
                <w:sz w:val="22"/>
              </w:rPr>
              <w:t>Near-complete rollout; NY completion expected</w:t>
            </w:r>
          </w:p>
        </w:tc>
      </w:tr>
      <w:tr>
        <w:tc>
          <w:tcPr>
            <w:tcW w:type="dxa" w:w="1728"/>
          </w:tcPr>
          <w:p>
            <w:r>
              <w:rPr>
                <w:rFonts w:ascii="Calibri" w:hAnsi="Calibri"/>
                <w:sz w:val="22"/>
              </w:rPr>
              <w:t>Online Quote Platform</w:t>
            </w:r>
          </w:p>
        </w:tc>
        <w:tc>
          <w:tcPr>
            <w:tcW w:type="dxa" w:w="1728"/>
          </w:tcPr>
          <w:p>
            <w:r>
              <w:rPr>
                <w:rFonts w:ascii="Calibri" w:hAnsi="Calibri"/>
                <w:sz w:val="22"/>
              </w:rPr>
              <w:t>Launched in Ohio (Feb 2026); expanding to MD, PA, VA, WV in April 2026. Will replace existing online quoting tools over time.</w:t>
            </w:r>
          </w:p>
        </w:tc>
        <w:tc>
          <w:tcPr>
            <w:tcW w:type="dxa" w:w="1728"/>
          </w:tcPr>
          <w:p>
            <w:r>
              <w:rPr>
                <w:rFonts w:ascii="Calibri" w:hAnsi="Calibri"/>
                <w:sz w:val="22"/>
              </w:rPr>
              <w:t>None</w:t>
            </w:r>
          </w:p>
        </w:tc>
        <w:tc>
          <w:tcPr>
            <w:tcW w:type="dxa" w:w="1728"/>
          </w:tcPr>
          <w:p>
            <w:r>
              <w:rPr>
                <w:rFonts w:ascii="Calibri" w:hAnsi="Calibri"/>
                <w:sz w:val="22"/>
              </w:rPr>
              <w:t>N/A</w:t>
            </w:r>
          </w:p>
        </w:tc>
        <w:tc>
          <w:tcPr>
            <w:tcW w:type="dxa" w:w="1728"/>
          </w:tcPr>
          <w:p>
            <w:r>
              <w:rPr>
                <w:rFonts w:ascii="Calibri" w:hAnsi="Calibri"/>
                <w:sz w:val="22"/>
              </w:rPr>
              <w:t>Multi-state rollout underway; progress update expected on Q2 call</w:t>
            </w:r>
          </w:p>
        </w:tc>
      </w:tr>
      <w:tr>
        <w:tc>
          <w:tcPr>
            <w:tcW w:type="dxa" w:w="1728"/>
          </w:tcPr>
          <w:p>
            <w:r>
              <w:rPr>
                <w:rFonts w:ascii="Calibri" w:hAnsi="Calibri"/>
                <w:sz w:val="22"/>
              </w:rPr>
              <w:t>Non-Commission Expenses</w:t>
            </w:r>
          </w:p>
        </w:tc>
        <w:tc>
          <w:tcPr>
            <w:tcW w:type="dxa" w:w="1728"/>
          </w:tcPr>
          <w:p>
            <w:r>
              <w:rPr>
                <w:rFonts w:ascii="Calibri" w:hAnsi="Calibri"/>
                <w:sz w:val="22"/>
              </w:rPr>
              <w:t>Decreased ~5.6% in Q1 2026 to $180M, driven by lower professional fees (technology initiatives). No specific forward guidance.</w:t>
            </w:r>
          </w:p>
        </w:tc>
        <w:tc>
          <w:tcPr>
            <w:tcW w:type="dxa" w:w="1728"/>
          </w:tcPr>
          <w:p>
            <w:r>
              <w:rPr>
                <w:rFonts w:ascii="Calibri" w:hAnsi="Calibri"/>
                <w:sz w:val="22"/>
              </w:rPr>
              <w:t>None</w:t>
            </w:r>
          </w:p>
        </w:tc>
        <w:tc>
          <w:tcPr>
            <w:tcW w:type="dxa" w:w="1728"/>
          </w:tcPr>
          <w:p>
            <w:r>
              <w:rPr>
                <w:rFonts w:ascii="Calibri" w:hAnsi="Calibri"/>
                <w:sz w:val="22"/>
              </w:rPr>
              <w:t>N/A — not in VA</w:t>
            </w:r>
          </w:p>
        </w:tc>
        <w:tc>
          <w:tcPr>
            <w:tcW w:type="dxa" w:w="1728"/>
          </w:tcPr>
          <w:p>
            <w:r>
              <w:rPr>
                <w:rFonts w:ascii="Calibri" w:hAnsi="Calibri"/>
                <w:sz w:val="22"/>
              </w:rPr>
              <w:t>Expense discipline a positive; watch for normalization</w:t>
            </w:r>
          </w:p>
        </w:tc>
      </w:tr>
      <w:tr>
        <w:tc>
          <w:tcPr>
            <w:tcW w:type="dxa" w:w="1728"/>
          </w:tcPr>
          <w:p>
            <w:r>
              <w:rPr>
                <w:rFonts w:ascii="Calibri" w:hAnsi="Calibri"/>
                <w:sz w:val="22"/>
              </w:rPr>
              <w:t>Investment Income</w:t>
            </w:r>
          </w:p>
        </w:tc>
        <w:tc>
          <w:tcPr>
            <w:tcW w:type="dxa" w:w="1728"/>
          </w:tcPr>
          <w:p>
            <w:r>
              <w:rPr>
                <w:rFonts w:ascii="Calibri" w:hAnsi="Calibri"/>
                <w:sz w:val="22"/>
              </w:rPr>
              <w:t>$22.1M in Q1 2026 vs. $19.5M in Q1 2025 (+13.3% YoY). No specific forward guidance; management cited higher yields and higher invested balances.</w:t>
            </w:r>
          </w:p>
        </w:tc>
        <w:tc>
          <w:tcPr>
            <w:tcW w:type="dxa" w:w="1728"/>
          </w:tcPr>
          <w:p>
            <w:r>
              <w:rPr>
                <w:rFonts w:ascii="Calibri" w:hAnsi="Calibri"/>
                <w:sz w:val="22"/>
              </w:rPr>
              <w:t>None</w:t>
            </w:r>
          </w:p>
        </w:tc>
        <w:tc>
          <w:tcPr>
            <w:tcW w:type="dxa" w:w="1728"/>
          </w:tcPr>
          <w:p>
            <w:r>
              <w:rPr>
                <w:rFonts w:ascii="Calibri" w:hAnsi="Calibri"/>
                <w:sz w:val="22"/>
              </w:rPr>
              <w:t>N/A — not in VA</w:t>
            </w:r>
          </w:p>
        </w:tc>
        <w:tc>
          <w:tcPr>
            <w:tcW w:type="dxa" w:w="1728"/>
          </w:tcPr>
          <w:p>
            <w:r>
              <w:rPr>
                <w:rFonts w:ascii="Calibri" w:hAnsi="Calibri"/>
                <w:sz w:val="22"/>
              </w:rPr>
              <w:t>Peer NII up 13–22% YoY; tailwind likely continues</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Visible Alpha does not carry ERIE-specific consensus estimates for the key operating KPIs (management fee revenue, combined ratio, DWP growth), making a formal revision tracker impossible to populate from VA. The table below captures what is known from the Q1 2026 earnings call baseline and the absence of any post-earnings guidance updates.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2026 Earnings (Apr 28,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EPS — Q2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No guidance provided</w:t>
            </w:r>
          </w:p>
        </w:tc>
        <w:tc>
          <w:tcPr>
            <w:tcW w:type="dxa" w:w="1080"/>
          </w:tcPr>
          <w:p>
            <w:r>
              <w:rPr>
                <w:rFonts w:ascii="Calibri" w:hAnsi="Calibri"/>
                <w:sz w:val="22"/>
              </w:rPr>
              <w:t>No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FY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No guidance provided</w:t>
            </w:r>
          </w:p>
        </w:tc>
        <w:tc>
          <w:tcPr>
            <w:tcW w:type="dxa" w:w="1080"/>
          </w:tcPr>
          <w:p>
            <w:r>
              <w:rPr>
                <w:rFonts w:ascii="Calibri" w:hAnsi="Calibri"/>
                <w:sz w:val="22"/>
              </w:rPr>
              <w:t>No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Mgmt Fee Revenue (Policy) — Q2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No guidance provided; Q1 grew +4.2% YoY</w:t>
            </w:r>
          </w:p>
        </w:tc>
        <w:tc>
          <w:tcPr>
            <w:tcW w:type="dxa" w:w="1080"/>
          </w:tcPr>
          <w:p>
            <w:r>
              <w:rPr>
                <w:rFonts w:ascii="Calibri" w:hAnsi="Calibri"/>
                <w:sz w:val="22"/>
              </w:rPr>
              <w:t>No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Exchange DWP Growth — Q2 2026</w:t>
            </w:r>
          </w:p>
        </w:tc>
        <w:tc>
          <w:tcPr>
            <w:tcW w:type="dxa" w:w="1080"/>
          </w:tcPr>
          <w:p>
            <w:r>
              <w:rPr>
                <w:rFonts w:ascii="Calibri" w:hAnsi="Calibri"/>
                <w:sz w:val="22"/>
              </w:rPr>
              <w:t>N/A — not in VA</w:t>
            </w:r>
          </w:p>
        </w:tc>
        <w:tc>
          <w:tcPr>
            <w:tcW w:type="dxa" w:w="1080"/>
          </w:tcPr>
          <w:p>
            <w:r>
              <w:rPr>
                <w:rFonts w:ascii="Calibri" w:hAnsi="Calibri"/>
                <w:sz w:val="22"/>
              </w:rPr>
              <w:t>N/A — not in VA</w:t>
            </w:r>
          </w:p>
        </w:tc>
        <w:tc>
          <w:tcPr>
            <w:tcW w:type="dxa" w:w="1080"/>
          </w:tcPr>
          <w:p>
            <w:r>
              <w:rPr>
                <w:rFonts w:ascii="Calibri" w:hAnsi="Calibri"/>
                <w:sz w:val="22"/>
              </w:rPr>
              <w:t>N/A</w:t>
            </w:r>
          </w:p>
        </w:tc>
        <w:tc>
          <w:tcPr>
            <w:tcW w:type="dxa" w:w="1080"/>
          </w:tcPr>
          <w:p>
            <w:r>
              <w:rPr>
                <w:rFonts w:ascii="Calibri" w:hAnsi="Calibri"/>
                <w:sz w:val="22"/>
              </w:rPr>
              <w:t>No guidance; Q1 2026 was +3.6% vs. +13.9% in Q1 2025</w:t>
            </w:r>
          </w:p>
        </w:tc>
        <w:tc>
          <w:tcPr>
            <w:tcW w:type="dxa" w:w="1080"/>
          </w:tcPr>
          <w:p>
            <w:r>
              <w:rPr>
                <w:rFonts w:ascii="Calibri" w:hAnsi="Calibri"/>
                <w:sz w:val="22"/>
              </w:rPr>
              <w:t>No guidance provided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ERIE does not provide formal numerical guidance for any financial metric, and Visible Alpha does not carry consensus estimates for ERIE's key operating KPIs. The absence of a formal guidance framework means the market is effectively setting its own bar based on management's qualitative commentary and peer read-throughs. The key directional signals from Q1 2026 are: (1) DWP growth decelerated sharply and is unlikely to reaccelerate materially in Q2 given the competitive environment; (2) the combined ratio should remain near breakeven absent a major catastrophe event; and (3) investment income should continue growing at a double-digit YoY rate given the fixed-income reinvestment tailwind.</w:t>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ERIE's stock is down ~30% over the past 12 months and has recovered modestly (+8% over 3 months, +4.6% over 1 month), suggesting the market has already priced in significant fundamental deterioration. The 12-month decline appears driven primarily by multiple compression and earnings disappointments rather than macro factors, as the S&amp;P 500 has been broadly positive over the same period.</w:t>
      </w:r>
    </w:p>
    <w:p>
      <w:r>
        <w:rPr>
          <w:rFonts w:ascii="Calibri" w:hAnsi="Calibri"/>
          <w:color w:val="525866"/>
          <w:sz w:val="22"/>
        </w:rPr>
        <w:t>Stock Performance Summary (as of July 29, 2026):</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Horizon</w:t>
            </w:r>
          </w:p>
        </w:tc>
        <w:tc>
          <w:tcPr>
            <w:tcW w:type="dxa" w:w="2880"/>
            <w:shd w:val="clear" w:color="auto" w:fill="3B4259"/>
          </w:tcPr>
          <w:p>
            <w:r>
              <w:rPr>
                <w:rFonts w:ascii="Calibri" w:hAnsi="Calibri"/>
                <w:b/>
                <w:color w:val="FFFFFF"/>
                <w:sz w:val="22"/>
              </w:rPr>
              <w:t>ERIE Price Return</w:t>
            </w:r>
          </w:p>
        </w:tc>
        <w:tc>
          <w:tcPr>
            <w:tcW w:type="dxa" w:w="2880"/>
            <w:shd w:val="clear" w:color="auto" w:fill="3B4259"/>
          </w:tcPr>
          <w:p>
            <w:r>
              <w:rPr>
                <w:rFonts w:ascii="Calibri" w:hAnsi="Calibri"/>
                <w:b/>
                <w:color w:val="FFFFFF"/>
                <w:sz w:val="22"/>
              </w:rPr>
              <w:t>Commentary</w:t>
            </w:r>
          </w:p>
        </w:tc>
      </w:tr>
      <w:tr>
        <w:tc>
          <w:tcPr>
            <w:tcW w:type="dxa" w:w="2880"/>
          </w:tcPr>
          <w:p>
            <w:r>
              <w:rPr>
                <w:rFonts w:ascii="Calibri" w:hAnsi="Calibri"/>
                <w:sz w:val="22"/>
              </w:rPr>
              <w:t>1 Month</w:t>
            </w:r>
          </w:p>
        </w:tc>
        <w:tc>
          <w:tcPr>
            <w:tcW w:type="dxa" w:w="2880"/>
          </w:tcPr>
          <w:p>
            <w:r>
              <w:rPr>
                <w:rFonts w:ascii="Calibri" w:hAnsi="Calibri"/>
                <w:sz w:val="22"/>
              </w:rPr>
              <w:t>+4.63%</w:t>
            </w:r>
          </w:p>
        </w:tc>
        <w:tc>
          <w:tcPr>
            <w:tcW w:type="dxa" w:w="2880"/>
          </w:tcPr>
          <w:p>
            <w:r>
              <w:rPr>
                <w:rFonts w:ascii="Calibri" w:hAnsi="Calibri"/>
                <w:sz w:val="22"/>
              </w:rPr>
              <w:t>Modest recovery; sector peers also rallied on favorable Q2 prints from TRV, HIG, CB</w:t>
            </w:r>
          </w:p>
        </w:tc>
      </w:tr>
      <w:tr>
        <w:tc>
          <w:tcPr>
            <w:tcW w:type="dxa" w:w="2880"/>
          </w:tcPr>
          <w:p>
            <w:r>
              <w:rPr>
                <w:rFonts w:ascii="Calibri" w:hAnsi="Calibri"/>
                <w:sz w:val="22"/>
              </w:rPr>
              <w:t>3 Months</w:t>
            </w:r>
          </w:p>
        </w:tc>
        <w:tc>
          <w:tcPr>
            <w:tcW w:type="dxa" w:w="2880"/>
          </w:tcPr>
          <w:p>
            <w:r>
              <w:rPr>
                <w:rFonts w:ascii="Calibri" w:hAnsi="Calibri"/>
                <w:sz w:val="22"/>
              </w:rPr>
              <w:t>+8.08%</w:t>
            </w:r>
          </w:p>
        </w:tc>
        <w:tc>
          <w:tcPr>
            <w:tcW w:type="dxa" w:w="2880"/>
          </w:tcPr>
          <w:p>
            <w:r>
              <w:rPr>
                <w:rFonts w:ascii="Calibri" w:hAnsi="Calibri"/>
                <w:sz w:val="22"/>
              </w:rPr>
              <w:t>Partial recovery from Q1 2026 earnings-day decline; sector sentiment improving</w:t>
            </w:r>
          </w:p>
        </w:tc>
      </w:tr>
      <w:tr>
        <w:tc>
          <w:tcPr>
            <w:tcW w:type="dxa" w:w="2880"/>
          </w:tcPr>
          <w:p>
            <w:r>
              <w:rPr>
                <w:rFonts w:ascii="Calibri" w:hAnsi="Calibri"/>
                <w:sz w:val="22"/>
              </w:rPr>
              <w:t>6 Months</w:t>
            </w:r>
          </w:p>
        </w:tc>
        <w:tc>
          <w:tcPr>
            <w:tcW w:type="dxa" w:w="2880"/>
          </w:tcPr>
          <w:p>
            <w:r>
              <w:rPr>
                <w:rFonts w:ascii="Calibri" w:hAnsi="Calibri"/>
                <w:sz w:val="22"/>
              </w:rPr>
              <w:t>-8.80%</w:t>
            </w:r>
          </w:p>
        </w:tc>
        <w:tc>
          <w:tcPr>
            <w:tcW w:type="dxa" w:w="2880"/>
          </w:tcPr>
          <w:p>
            <w:r>
              <w:rPr>
                <w:rFonts w:ascii="Calibri" w:hAnsi="Calibri"/>
                <w:sz w:val="22"/>
              </w:rPr>
              <w:t>Underperformance vs. market; Q1 2026 miss and DWP deceleration weighed</w:t>
            </w:r>
          </w:p>
        </w:tc>
      </w:tr>
      <w:tr>
        <w:tc>
          <w:tcPr>
            <w:tcW w:type="dxa" w:w="2880"/>
          </w:tcPr>
          <w:p>
            <w:r>
              <w:rPr>
                <w:rFonts w:ascii="Calibri" w:hAnsi="Calibri"/>
                <w:sz w:val="22"/>
              </w:rPr>
              <w:t>12 Months</w:t>
            </w:r>
          </w:p>
        </w:tc>
        <w:tc>
          <w:tcPr>
            <w:tcW w:type="dxa" w:w="2880"/>
          </w:tcPr>
          <w:p>
            <w:r>
              <w:rPr>
                <w:rFonts w:ascii="Calibri" w:hAnsi="Calibri"/>
                <w:sz w:val="22"/>
              </w:rPr>
              <w:t>-29.72%</w:t>
            </w:r>
          </w:p>
        </w:tc>
        <w:tc>
          <w:tcPr>
            <w:tcW w:type="dxa" w:w="2880"/>
          </w:tcPr>
          <w:p>
            <w:r>
              <w:rPr>
                <w:rFonts w:ascii="Calibri" w:hAnsi="Calibri"/>
                <w:sz w:val="22"/>
              </w:rPr>
              <w:t>Significant de-rating; combination of earnings misses, policy count erosion, and multiple compression</w:t>
            </w:r>
          </w:p>
        </w:tc>
      </w:tr>
    </w:tbl>
    <w:p>
      <w:r>
        <w:rPr>
          <w:rFonts w:ascii="Calibri" w:hAnsi="Calibri"/>
          <w:b/>
          <w:color w:val="525866"/>
          <w:sz w:val="22"/>
        </w:rPr>
        <w:t xml:space="preserve">Note on Chart: </w:t>
      </w:r>
      <w:r>
        <w:rPr>
          <w:rFonts w:ascii="Calibri" w:hAnsi="Calibri"/>
          <w:color w:val="525866"/>
          <w:sz w:val="22"/>
        </w:rPr>
        <w:t>A formal indexed price chart (ERIE vs. KIE sector ETF vs. S&amp;P 500 since April 23, 2026 last earnings date) could not be generated in this document format. The stock performance decomposition data from the research context indicates NTM valuation multiples are not available in the system for ERIE, preventing a formal multiple-vs.-earnings decomposition. The 12-month decline of ~30% in a period where the broader market was broadly positive strongly implies multiple compression and/or earnings estimate cuts as the primary driver, consistent with the DWP deceleration and policy count erosion narrative. The appropriate sector ETF for ERIE is KIE (SPDR S&amp;P Insurance ETF) or IAK (iShares U.S. Insurance ETF), given ERIE's pure-play P&amp;C insurance fee-based model.</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2026 earnings is the dual leadership transition (CEO Nicastro retiring year-end 2026, new Chairman Jonathan Hirt Hagen elected April 19, 2026), which adds execution uncertainty at a critical inflection point for the business. The Q2 2026 earnings release is scheduled for after market close July 30, 2026, with a pre-recorded webcast July 31, 2026 at 10:00 a.m. ET.</w:t>
      </w:r>
    </w:p>
    <w:p>
      <w:pPr>
        <w:pStyle w:val="ListBullet"/>
        <w:ind w:left="360" w:hanging="360"/>
      </w:pPr>
      <w:r>
        <w:rPr>
          <w:rFonts w:ascii="Calibri" w:hAnsi="Calibri"/>
          <w:b/>
          <w:color w:val="525866"/>
          <w:sz w:val="22"/>
        </w:rPr>
        <w:t>July 30, 2026 (After Market Close) — Q2 2026 Earnings Release Scheduled.</w:t>
      </w:r>
      <w:r>
        <w:rPr>
          <w:rFonts w:ascii="Calibri" w:hAnsi="Calibri"/>
          <w:color w:val="525866"/>
          <w:sz w:val="22"/>
        </w:rPr>
        <w:t xml:space="preserve"> Erie Indemnity will issue its Q2 2026 press release after the close of the market on July 30, 2026, followed by a pre-recorded audio webcast on July 31, 2026 at 10:00 a.m. ET. No live Q&amp;A session. Implication: investors will need to parse the press release and financial supplement without the ability to ask management questions in real time.</w:t>
      </w:r>
    </w:p>
    <w:p>
      <w:pPr>
        <w:pStyle w:val="ListBullet"/>
        <w:ind w:left="360" w:hanging="360"/>
      </w:pPr>
      <w:r>
        <w:rPr>
          <w:rFonts w:ascii="Calibri" w:hAnsi="Calibri"/>
          <w:b/>
          <w:color w:val="525866"/>
          <w:sz w:val="22"/>
        </w:rPr>
        <w:t>April 23, 2026 — Q1 2026 Results: Miss on EPS and Revenue; Combined Ratio Improved.</w:t>
      </w:r>
      <w:r>
        <w:rPr>
          <w:rFonts w:ascii="Calibri" w:hAnsi="Calibri"/>
          <w:color w:val="525866"/>
          <w:sz w:val="22"/>
        </w:rPr>
        <w:t xml:space="preserve"> ERIE reported Q1 2026 net income of $150.5M ($2.88 diluted EPS) vs. $138.4M ($2.65) in Q1 2025. Operating income grew ~10% to $167M. However, DWP growth decelerated sharply to +3.6% (from +13.9% in Q1 2025), policies in force fell 1.7% YoY, and retention declined to 88%. The Exchange combined ratio improved to 99.4% from 108.1% in Q1 2025. Both EPS and revenue missed consensus. Implication: the bar for Q2 is set against a clean Q2 2025 (no outsized cat events), making the YoY comparison more challenging.</w:t>
      </w:r>
    </w:p>
    <w:p>
      <w:pPr>
        <w:pStyle w:val="ListBullet"/>
        <w:ind w:left="360" w:hanging="360"/>
      </w:pPr>
      <w:r>
        <w:rPr>
          <w:rFonts w:ascii="Calibri" w:hAnsi="Calibri"/>
          <w:b/>
          <w:color w:val="525866"/>
          <w:sz w:val="22"/>
        </w:rPr>
        <w:t>April 19, 2026 — New Chairman Elected: Jonathan Hirt Hagen.</w:t>
      </w:r>
      <w:r>
        <w:rPr>
          <w:rFonts w:ascii="Calibri" w:hAnsi="Calibri"/>
          <w:color w:val="525866"/>
          <w:sz w:val="22"/>
        </w:rPr>
        <w:t xml:space="preserve"> Following Tom Hagen's decision to step down as Chairman after 20+ years, Jonathan Hirt Hagen (grandson of co-founder H.O. Hirt, Board member since 2005, Vice Chairman since 2013) was unanimously elected Chairman at a special Board meeting. Tom Hagen continues as Chairman Emeritus and Chair of the Executive Committee. Implication: governance continuity maintained within the founding family, but the dual CEO/Chairman transition adds leadership uncertainty.</w:t>
      </w:r>
    </w:p>
    <w:p>
      <w:pPr>
        <w:pStyle w:val="ListBullet"/>
        <w:ind w:left="360" w:hanging="360"/>
      </w:pPr>
      <w:r>
        <w:rPr>
          <w:rFonts w:ascii="Calibri" w:hAnsi="Calibri"/>
          <w:b/>
          <w:color w:val="525866"/>
          <w:sz w:val="22"/>
        </w:rPr>
        <w:t>April 23, 2026 — New Board Member: William Edwards.</w:t>
      </w:r>
      <w:r>
        <w:rPr>
          <w:rFonts w:ascii="Calibri" w:hAnsi="Calibri"/>
          <w:color w:val="525866"/>
          <w:sz w:val="22"/>
        </w:rPr>
        <w:t xml:space="preserve"> Attorney and partner at Taft in Indianapolis (employment law) joined the Board. Implication: minor governance development; no direct earnings impact.</w:t>
      </w:r>
    </w:p>
    <w:p>
      <w:pPr>
        <w:pStyle w:val="ListBullet"/>
        <w:ind w:left="360" w:hanging="360"/>
      </w:pPr>
      <w:r>
        <w:rPr>
          <w:rFonts w:ascii="Calibri" w:hAnsi="Calibri"/>
          <w:b/>
          <w:color w:val="525866"/>
          <w:sz w:val="22"/>
        </w:rPr>
        <w:t>Q1 2026 — Erie Secure Auto Expansion Accelerating.</w:t>
      </w:r>
      <w:r>
        <w:rPr>
          <w:rFonts w:ascii="Calibri" w:hAnsi="Calibri"/>
          <w:color w:val="525866"/>
          <w:sz w:val="22"/>
        </w:rPr>
        <w:t xml:space="preserve"> Following a successful Ohio pilot, Erie Secure Auto expanded to Virginia and West Virginia in Q1 2026. Management guided for four additional states in Q2 2026, with continued expansion through year-end. Implication: this is the primary growth catalyst for reaccelerating DWP and policy count; Q2 call commentary on early traction will be closely watched.</w:t>
      </w:r>
    </w:p>
    <w:p>
      <w:pPr>
        <w:pStyle w:val="ListBullet"/>
        <w:ind w:left="360" w:hanging="360"/>
      </w:pPr>
      <w:r>
        <w:rPr>
          <w:rFonts w:ascii="Calibri" w:hAnsi="Calibri"/>
          <w:b/>
          <w:color w:val="525866"/>
          <w:sz w:val="22"/>
        </w:rPr>
        <w:t>Q1 2026 — Online Quote Platform Multi-State Rollout.</w:t>
      </w:r>
      <w:r>
        <w:rPr>
          <w:rFonts w:ascii="Calibri" w:hAnsi="Calibri"/>
          <w:color w:val="525866"/>
          <w:sz w:val="22"/>
        </w:rPr>
        <w:t xml:space="preserve"> Launched in Ohio in February 2026; expanded to Maryland, Pennsylvania, Virginia, and West Virginia in April 2026. Designed to replace existing online quoting tools over time. Implication: a key competitive tool for the independent agent channel; early adoption metrics would be a positive signal.</w:t>
      </w:r>
    </w:p>
    <w:p>
      <w:pPr>
        <w:pStyle w:val="ListBullet"/>
        <w:ind w:left="360" w:hanging="360"/>
      </w:pPr>
      <w:r>
        <w:rPr>
          <w:rFonts w:ascii="Calibri" w:hAnsi="Calibri"/>
          <w:b/>
          <w:color w:val="525866"/>
          <w:sz w:val="22"/>
        </w:rPr>
        <w:t>Q1 2026 — Business Auto 2.0 Near-Complete National Rollout.</w:t>
      </w:r>
      <w:r>
        <w:rPr>
          <w:rFonts w:ascii="Calibri" w:hAnsi="Calibri"/>
          <w:color w:val="525866"/>
          <w:sz w:val="22"/>
        </w:rPr>
        <w:t xml:space="preserve"> Expanded to NC, VA, MD, and DC in Q1 2026; only New York remains. Implication: near-complete commercial auto product modernization; NY completion expected in Q2 or Q3 2026.</w:t>
      </w:r>
    </w:p>
    <w:p>
      <w:pPr>
        <w:pStyle w:val="ListBullet"/>
        <w:ind w:left="360" w:hanging="360"/>
      </w:pPr>
      <w:r>
        <w:rPr>
          <w:rFonts w:ascii="Calibri" w:hAnsi="Calibri"/>
          <w:b/>
          <w:color w:val="525866"/>
          <w:sz w:val="22"/>
        </w:rPr>
        <w:t>Q1 2026 — AI Deployment Scaled Across Employee Population.</w:t>
      </w:r>
      <w:r>
        <w:rPr>
          <w:rFonts w:ascii="Calibri" w:hAnsi="Calibri"/>
          <w:color w:val="525866"/>
          <w:sz w:val="22"/>
        </w:rPr>
        <w:t xml:space="preserve"> ChatGPT Enterprise now available across all employees; AI embedded in claims (subrogation case preparation) and other workflows. More than half of systems migrated to contemporary platforms. Implication: technology modernization is progressing; cost efficiency benefits should gradually materialize in non-commission expenses.</w:t>
      </w:r>
    </w:p>
    <w:p>
      <w:pPr>
        <w:pStyle w:val="ListBullet"/>
        <w:ind w:left="360" w:hanging="360"/>
      </w:pPr>
      <w:r>
        <w:rPr>
          <w:rFonts w:ascii="Calibri" w:hAnsi="Calibri"/>
          <w:b/>
          <w:color w:val="525866"/>
          <w:sz w:val="22"/>
        </w:rPr>
        <w:t>Ongoing — CEO Succession: Tim Nicastro Retiring Year-End 2026.</w:t>
      </w:r>
      <w:r>
        <w:rPr>
          <w:rFonts w:ascii="Calibri" w:hAnsi="Calibri"/>
          <w:color w:val="525866"/>
          <w:sz w:val="22"/>
        </w:rPr>
        <w:t xml:space="preserve"> Announced previously; no successor named as of the Q1 2026 call. Implication: the most significant execution risk heading into 2027; investors will watch for any successor announcement or additional detail on the Q2 call.</w:t>
      </w:r>
    </w:p>
    <w:p>
      <w:pPr>
        <w:pStyle w:val="ListBullet"/>
        <w:ind w:left="360" w:hanging="360"/>
      </w:pPr>
      <w:r>
        <w:rPr>
          <w:rFonts w:ascii="Calibri" w:hAnsi="Calibri"/>
          <w:b/>
          <w:color w:val="525866"/>
          <w:sz w:val="22"/>
        </w:rPr>
        <w:t>Peer Read-Through — Q2 2026 Industry Cat Losses Elevated but Manageable.</w:t>
      </w:r>
      <w:r>
        <w:rPr>
          <w:rFonts w:ascii="Calibri" w:hAnsi="Calibri"/>
          <w:color w:val="525866"/>
          <w:sz w:val="22"/>
        </w:rPr>
        <w:t xml:space="preserve"> Allstate reported $1.72B in Q2 2026 catastrophe losses (after-tax: $1.36B); Chubb reported $475M pre-tax in weather-related cat losses; THG reported cat losses of 5.7 points of combined ratio, below modeled expectations. Implication: Q2 2026 had meaningful weather activity nationally, but THG's below-expectation result in overlapping geographies is a modestly positive read-through for ERIE's Midwest/Mid-Atlantic footprint.</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One notable open-market buy by a 10% owner/director (Elizabeth Vorsheck, ~$3,000 shares in early June 2026) is a modestly constructive signal, though the size is not unusually large relative to her existing position. One small discretionary sale by a Senior VP is routine and not a concern.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Post-Transaction Holdings</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Elizabeth A. Vorsheck</w:t>
            </w:r>
          </w:p>
        </w:tc>
        <w:tc>
          <w:tcPr>
            <w:tcW w:type="dxa" w:w="1234"/>
          </w:tcPr>
          <w:p>
            <w:r>
              <w:rPr>
                <w:rFonts w:ascii="Calibri" w:hAnsi="Calibri"/>
                <w:sz w:val="22"/>
              </w:rPr>
              <w:t>10% Owner, Director</w:t>
            </w:r>
          </w:p>
        </w:tc>
        <w:tc>
          <w:tcPr>
            <w:tcW w:type="dxa" w:w="1234"/>
          </w:tcPr>
          <w:p>
            <w:r>
              <w:rPr>
                <w:rFonts w:ascii="Calibri" w:hAnsi="Calibri"/>
                <w:b/>
                <w:color w:val="30A46C"/>
                <w:sz w:val="22"/>
              </w:rPr>
              <w:t>Open Market Buy</w:t>
            </w:r>
          </w:p>
        </w:tc>
        <w:tc>
          <w:tcPr>
            <w:tcW w:type="dxa" w:w="1234"/>
          </w:tcPr>
          <w:p>
            <w:r>
              <w:rPr>
                <w:rFonts w:ascii="Calibri" w:hAnsi="Calibri"/>
                <w:sz w:val="22"/>
              </w:rPr>
              <w:t>3,000 shares</w:t>
            </w:r>
          </w:p>
        </w:tc>
        <w:tc>
          <w:tcPr>
            <w:tcW w:type="dxa" w:w="1234"/>
          </w:tcPr>
          <w:p>
            <w:r>
              <w:rPr>
                <w:rFonts w:ascii="Calibri" w:hAnsi="Calibri"/>
                <w:sz w:val="22"/>
              </w:rPr>
              <w:t>June 2, 2026</w:t>
            </w:r>
          </w:p>
        </w:tc>
        <w:tc>
          <w:tcPr>
            <w:tcW w:type="dxa" w:w="1234"/>
          </w:tcPr>
          <w:p>
            <w:r>
              <w:rPr>
                <w:rFonts w:ascii="Calibri" w:hAnsi="Calibri"/>
                <w:sz w:val="22"/>
              </w:rPr>
              <w:t>267,081 shares (indirect, via revocable trust)</w:t>
            </w:r>
          </w:p>
        </w:tc>
        <w:tc>
          <w:tcPr>
            <w:tcW w:type="dxa" w:w="1234"/>
          </w:tcPr>
          <w:p>
            <w:r>
              <w:rPr>
                <w:rFonts w:ascii="Calibri" w:hAnsi="Calibri"/>
                <w:sz w:val="22"/>
              </w:rPr>
              <w:t>Discretionary buy; purchased through Elizabeth Vorsheck Revocable Trust. Not a 10b5-1 plan. Constructive signal from a major insider.</w:t>
            </w:r>
          </w:p>
        </w:tc>
      </w:tr>
      <w:tr>
        <w:tc>
          <w:tcPr>
            <w:tcW w:type="dxa" w:w="1234"/>
          </w:tcPr>
          <w:p>
            <w:r>
              <w:rPr>
                <w:rFonts w:ascii="Calibri" w:hAnsi="Calibri"/>
                <w:sz w:val="22"/>
              </w:rPr>
              <w:t>Anthony DaBreo</w:t>
            </w:r>
          </w:p>
        </w:tc>
        <w:tc>
          <w:tcPr>
            <w:tcW w:type="dxa" w:w="1234"/>
          </w:tcPr>
          <w:p>
            <w:r>
              <w:rPr>
                <w:rFonts w:ascii="Calibri" w:hAnsi="Calibri"/>
                <w:sz w:val="22"/>
              </w:rPr>
              <w:t>Senior Vice President, Life</w:t>
            </w:r>
          </w:p>
        </w:tc>
        <w:tc>
          <w:tcPr>
            <w:tcW w:type="dxa" w:w="1234"/>
          </w:tcPr>
          <w:p>
            <w:r>
              <w:rPr>
                <w:rFonts w:ascii="Calibri" w:hAnsi="Calibri"/>
                <w:sz w:val="22"/>
              </w:rPr>
              <w:t>Open Market Sale</w:t>
            </w:r>
          </w:p>
        </w:tc>
        <w:tc>
          <w:tcPr>
            <w:tcW w:type="dxa" w:w="1234"/>
          </w:tcPr>
          <w:p>
            <w:r>
              <w:rPr>
                <w:rFonts w:ascii="Calibri" w:hAnsi="Calibri"/>
                <w:sz w:val="22"/>
              </w:rPr>
              <w:t>465 shares</w:t>
            </w:r>
          </w:p>
        </w:tc>
        <w:tc>
          <w:tcPr>
            <w:tcW w:type="dxa" w:w="1234"/>
          </w:tcPr>
          <w:p>
            <w:r>
              <w:rPr>
                <w:rFonts w:ascii="Calibri" w:hAnsi="Calibri"/>
                <w:sz w:val="22"/>
              </w:rPr>
              <w:t>May 8, 2026</w:t>
            </w:r>
          </w:p>
        </w:tc>
        <w:tc>
          <w:tcPr>
            <w:tcW w:type="dxa" w:w="1234"/>
          </w:tcPr>
          <w:p>
            <w:r>
              <w:rPr>
                <w:rFonts w:ascii="Calibri" w:hAnsi="Calibri"/>
                <w:sz w:val="22"/>
              </w:rPr>
              <w:t>909 shares (direct)</w:t>
            </w:r>
          </w:p>
        </w:tc>
        <w:tc>
          <w:tcPr>
            <w:tcW w:type="dxa" w:w="1234"/>
          </w:tcPr>
          <w:p>
            <w:r>
              <w:rPr>
                <w:rFonts w:ascii="Calibri" w:hAnsi="Calibri"/>
                <w:sz w:val="22"/>
              </w:rPr>
              <w:t>Small discretionary sale; not a 10b5-1 plan. Routine in size; not a concern.</w:t>
            </w:r>
          </w:p>
        </w:tc>
      </w:tr>
    </w:tbl>
    <w:p>
      <w:r>
        <w:rPr>
          <w:rFonts w:ascii="Calibri" w:hAnsi="Calibri"/>
          <w:color w:val="525866"/>
          <w:sz w:val="22"/>
        </w:rPr>
        <w:t>Source: SEC Form 4 filings. Window: May 1 – July 29, 2026. Only open-market buys (code P) and sells (code S) included. No 10b5-1 plan initiations identified in the window.</w:t>
      </w:r>
    </w:p>
    <w:p>
      <w:r>
        <w:br w:type="page"/>
      </w:r>
    </w:p>
    <w:p>
      <w:pPr>
        <w:pStyle w:val="Heading2"/>
      </w:pPr>
      <w:r>
        <w:rPr>
          <w:rFonts w:ascii="Calibri" w:hAnsi="Calibri"/>
          <w:b/>
          <w:color w:val="3B4259"/>
          <w:sz w:val="28"/>
        </w:rPr>
        <w:t>8. Peer Commentary: Current-Quarter Read-Throughs (Q2 2026)</w:t>
      </w:r>
    </w:p>
    <w:p>
      <w:r>
        <w:rPr>
          <w:rFonts w:ascii="Calibri" w:hAnsi="Calibri"/>
          <w:b/>
          <w:color w:val="525866"/>
          <w:sz w:val="22"/>
        </w:rPr>
        <w:t xml:space="preserve">Scope: </w:t>
      </w:r>
      <w:r>
        <w:rPr>
          <w:rFonts w:ascii="Calibri" w:hAnsi="Calibri"/>
          <w:color w:val="525866"/>
          <w:sz w:val="22"/>
        </w:rPr>
        <w:t>This section includes only commentary and reported indicators from peers that are directly relevant to ERIE's Q2 2026 reporting period (quarter ended June 30, 2026). All peers below reported Q2 2026 results between July 15–29, 2026. Prior-quarter commentary about prior-quarter results is excluded. Peers are ranked by relevance to ERIE's business model.</w:t>
      </w:r>
    </w:p>
    <w:p>
      <w:pPr>
        <w:pStyle w:val="Heading3"/>
      </w:pPr>
      <w:r>
        <w:rPr>
          <w:rFonts w:ascii="Calibri" w:hAnsi="Calibri"/>
          <w:b/>
          <w:color w:val="3B4259"/>
          <w:sz w:val="24"/>
        </w:rPr>
        <w:t>8.1 The Hanover Insurance Group (THG) — Most Direct Read-Through</w:t>
      </w:r>
    </w:p>
    <w:p>
      <w:r>
        <w:rPr>
          <w:rFonts w:ascii="Calibri" w:hAnsi="Calibri"/>
          <w:b/>
          <w:color w:val="525866"/>
          <w:sz w:val="22"/>
        </w:rPr>
        <w:t xml:space="preserve">Reported: July 28, 2026 (Q2 2026). Relevance: </w:t>
      </w:r>
      <w:r>
        <w:rPr>
          <w:rFonts w:ascii="Calibri" w:hAnsi="Calibri"/>
          <w:color w:val="525866"/>
          <w:sz w:val="22"/>
        </w:rPr>
        <w:t>THG is ERIE's closest structural peer — both are independent-agency-channel focused, personal + small commercial lines, Midwest/Northeast geographic concentration, and profitability-first underwriting culture. THG's Q2 2026 results are the single most direct read-through available.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Indicator</w:t>
            </w:r>
          </w:p>
        </w:tc>
        <w:tc>
          <w:tcPr>
            <w:tcW w:type="dxa" w:w="2160"/>
            <w:shd w:val="clear" w:color="auto" w:fill="3B4259"/>
          </w:tcPr>
          <w:p>
            <w:r>
              <w:rPr>
                <w:rFonts w:ascii="Calibri" w:hAnsi="Calibri"/>
                <w:b/>
                <w:color w:val="FFFFFF"/>
                <w:sz w:val="22"/>
              </w:rPr>
              <w:t>THG Q2 2026 Result</w:t>
            </w:r>
          </w:p>
        </w:tc>
        <w:tc>
          <w:tcPr>
            <w:tcW w:type="dxa" w:w="2160"/>
            <w:shd w:val="clear" w:color="auto" w:fill="3B4259"/>
          </w:tcPr>
          <w:p>
            <w:r>
              <w:rPr>
                <w:rFonts w:ascii="Calibri" w:hAnsi="Calibri"/>
                <w:b/>
                <w:color w:val="FFFFFF"/>
                <w:sz w:val="22"/>
              </w:rPr>
              <w:t>ERIE Read-Through</w:t>
            </w:r>
          </w:p>
        </w:tc>
        <w:tc>
          <w:tcPr>
            <w:tcW w:type="dxa" w:w="2160"/>
            <w:shd w:val="clear" w:color="auto" w:fill="3B4259"/>
          </w:tcPr>
          <w:p>
            <w:r>
              <w:rPr>
                <w:rFonts w:ascii="Calibri" w:hAnsi="Calibri"/>
                <w:b/>
                <w:color w:val="FFFFFF"/>
                <w:sz w:val="22"/>
              </w:rPr>
              <w:t>Direct / Indirect</w:t>
            </w:r>
          </w:p>
        </w:tc>
      </w:tr>
      <w:tr>
        <w:tc>
          <w:tcPr>
            <w:tcW w:type="dxa" w:w="2160"/>
          </w:tcPr>
          <w:p>
            <w:r>
              <w:rPr>
                <w:rFonts w:ascii="Calibri" w:hAnsi="Calibri"/>
                <w:sz w:val="22"/>
              </w:rPr>
              <w:t>Combined Ratio (Reported)</w:t>
            </w:r>
          </w:p>
        </w:tc>
        <w:tc>
          <w:tcPr>
            <w:tcW w:type="dxa" w:w="2160"/>
          </w:tcPr>
          <w:p>
            <w:r>
              <w:rPr>
                <w:rFonts w:ascii="Calibri" w:hAnsi="Calibri"/>
                <w:sz w:val="22"/>
              </w:rPr>
              <w:t>91.2% (record Q2); ex-CAT: 85.5%</w:t>
            </w:r>
          </w:p>
        </w:tc>
        <w:tc>
          <w:tcPr>
            <w:tcW w:type="dxa" w:w="2160"/>
          </w:tcPr>
          <w:p>
            <w:r>
              <w:rPr>
                <w:rFonts w:ascii="Calibri" w:hAnsi="Calibri"/>
                <w:b/>
                <w:color w:val="30A46C"/>
                <w:sz w:val="22"/>
              </w:rPr>
              <w:t>Strongly positive; suggests attritional loss environment was favorable in overlapping geographies. ERIE's Exchange combined ratio should benefit from similar trends.</w:t>
            </w:r>
          </w:p>
        </w:tc>
        <w:tc>
          <w:tcPr>
            <w:tcW w:type="dxa" w:w="2160"/>
          </w:tcPr>
          <w:p>
            <w:r>
              <w:rPr>
                <w:rFonts w:ascii="Calibri" w:hAnsi="Calibri"/>
                <w:sz w:val="22"/>
              </w:rPr>
              <w:t>Direct</w:t>
            </w:r>
          </w:p>
        </w:tc>
      </w:tr>
      <w:tr>
        <w:tc>
          <w:tcPr>
            <w:tcW w:type="dxa" w:w="2160"/>
          </w:tcPr>
          <w:p>
            <w:r>
              <w:rPr>
                <w:rFonts w:ascii="Calibri" w:hAnsi="Calibri"/>
                <w:sz w:val="22"/>
              </w:rPr>
              <w:t>Personal Auto Renewal Pricing</w:t>
            </w:r>
          </w:p>
        </w:tc>
        <w:tc>
          <w:tcPr>
            <w:tcW w:type="dxa" w:w="2160"/>
          </w:tcPr>
          <w:p>
            <w:r>
              <w:rPr>
                <w:rFonts w:ascii="Calibri" w:hAnsi="Calibri"/>
                <w:sz w:val="22"/>
              </w:rPr>
              <w:t>+7.1% in Q2 2026</w:t>
            </w:r>
          </w:p>
        </w:tc>
        <w:tc>
          <w:tcPr>
            <w:tcW w:type="dxa" w:w="2160"/>
          </w:tcPr>
          <w:p>
            <w:r>
              <w:rPr>
                <w:rFonts w:ascii="Calibri" w:hAnsi="Calibri"/>
                <w:b/>
                <w:color w:val="30A46C"/>
                <w:sz w:val="22"/>
              </w:rPr>
              <w:t>Positive: pricing still above long-term loss cost trends; ERIE's Exchange likely earning similar rate adequacy in auto.</w:t>
            </w:r>
          </w:p>
        </w:tc>
        <w:tc>
          <w:tcPr>
            <w:tcW w:type="dxa" w:w="2160"/>
          </w:tcPr>
          <w:p>
            <w:r>
              <w:rPr>
                <w:rFonts w:ascii="Calibri" w:hAnsi="Calibri"/>
                <w:sz w:val="22"/>
              </w:rPr>
              <w:t>Direct</w:t>
            </w:r>
          </w:p>
        </w:tc>
      </w:tr>
      <w:tr>
        <w:tc>
          <w:tcPr>
            <w:tcW w:type="dxa" w:w="2160"/>
          </w:tcPr>
          <w:p>
            <w:r>
              <w:rPr>
                <w:rFonts w:ascii="Calibri" w:hAnsi="Calibri"/>
                <w:sz w:val="22"/>
              </w:rPr>
              <w:t>Homeowners Renewal Pricing</w:t>
            </w:r>
          </w:p>
        </w:tc>
        <w:tc>
          <w:tcPr>
            <w:tcW w:type="dxa" w:w="2160"/>
          </w:tcPr>
          <w:p>
            <w:r>
              <w:rPr>
                <w:rFonts w:ascii="Calibri" w:hAnsi="Calibri"/>
                <w:sz w:val="22"/>
              </w:rPr>
              <w:t>+10.9% in Q2 2026</w:t>
            </w:r>
          </w:p>
        </w:tc>
        <w:tc>
          <w:tcPr>
            <w:tcW w:type="dxa" w:w="2160"/>
          </w:tcPr>
          <w:p>
            <w:r>
              <w:rPr>
                <w:rFonts w:ascii="Calibri" w:hAnsi="Calibri"/>
                <w:b/>
                <w:color w:val="30A46C"/>
                <w:sz w:val="22"/>
              </w:rPr>
              <w:t>Positive: home pricing well above loss cost trends; supports ERIE's homeowners profitability.</w:t>
            </w:r>
          </w:p>
        </w:tc>
        <w:tc>
          <w:tcPr>
            <w:tcW w:type="dxa" w:w="2160"/>
          </w:tcPr>
          <w:p>
            <w:r>
              <w:rPr>
                <w:rFonts w:ascii="Calibri" w:hAnsi="Calibri"/>
                <w:sz w:val="22"/>
              </w:rPr>
              <w:t>Direct</w:t>
            </w:r>
          </w:p>
        </w:tc>
      </w:tr>
      <w:tr>
        <w:tc>
          <w:tcPr>
            <w:tcW w:type="dxa" w:w="2160"/>
          </w:tcPr>
          <w:p>
            <w:r>
              <w:rPr>
                <w:rFonts w:ascii="Calibri" w:hAnsi="Calibri"/>
                <w:sz w:val="22"/>
              </w:rPr>
              <w:t>Catastrophe Losses</w:t>
            </w:r>
          </w:p>
        </w:tc>
        <w:tc>
          <w:tcPr>
            <w:tcW w:type="dxa" w:w="2160"/>
          </w:tcPr>
          <w:p>
            <w:r>
              <w:rPr>
                <w:rFonts w:ascii="Calibri" w:hAnsi="Calibri"/>
                <w:sz w:val="22"/>
              </w:rPr>
              <w:t>5.7 pts of combined ratio; below modeled expectations despite frequent activity in THG geographies</w:t>
            </w:r>
          </w:p>
        </w:tc>
        <w:tc>
          <w:tcPr>
            <w:tcW w:type="dxa" w:w="2160"/>
          </w:tcPr>
          <w:p>
            <w:r>
              <w:rPr>
                <w:rFonts w:ascii="Calibri" w:hAnsi="Calibri"/>
                <w:b/>
                <w:color w:val="30A46C"/>
                <w:sz w:val="22"/>
              </w:rPr>
              <w:t>Modestly positive: THG's geographies overlap significantly with ERIE's core states (PA, OH, IN, VA, WI). Below-expectation cat load is a constructive read-through.</w:t>
            </w:r>
          </w:p>
        </w:tc>
        <w:tc>
          <w:tcPr>
            <w:tcW w:type="dxa" w:w="2160"/>
          </w:tcPr>
          <w:p>
            <w:r>
              <w:rPr>
                <w:rFonts w:ascii="Calibri" w:hAnsi="Calibri"/>
                <w:sz w:val="22"/>
              </w:rPr>
              <w:t>Direct</w:t>
            </w:r>
          </w:p>
        </w:tc>
      </w:tr>
      <w:tr>
        <w:tc>
          <w:tcPr>
            <w:tcW w:type="dxa" w:w="2160"/>
          </w:tcPr>
          <w:p>
            <w:r>
              <w:rPr>
                <w:rFonts w:ascii="Calibri" w:hAnsi="Calibri"/>
                <w:sz w:val="22"/>
              </w:rPr>
              <w:t>Personal Lines PIF (Policies in Force)</w:t>
            </w:r>
          </w:p>
        </w:tc>
        <w:tc>
          <w:tcPr>
            <w:tcW w:type="dxa" w:w="2160"/>
          </w:tcPr>
          <w:p>
            <w:r>
              <w:rPr>
                <w:rFonts w:ascii="Calibri" w:hAnsi="Calibri"/>
                <w:sz w:val="22"/>
              </w:rPr>
              <w:t>Roughly flat sequentially; expects sequential PIF growth by end of 2026</w:t>
            </w:r>
          </w:p>
        </w:tc>
        <w:tc>
          <w:tcPr>
            <w:tcW w:type="dxa" w:w="2160"/>
          </w:tcPr>
          <w:p>
            <w:r>
              <w:rPr>
                <w:rFonts w:ascii="Calibri" w:hAnsi="Calibri"/>
                <w:sz w:val="22"/>
              </w:rPr>
              <w:t>Key watch: if THG is stabilizing PIF, ERIE may also be approaching a sequential inflection. Watch for any stabilization signal on the Q2 call.</w:t>
            </w:r>
          </w:p>
        </w:tc>
        <w:tc>
          <w:tcPr>
            <w:tcW w:type="dxa" w:w="2160"/>
          </w:tcPr>
          <w:p>
            <w:r>
              <w:rPr>
                <w:rFonts w:ascii="Calibri" w:hAnsi="Calibri"/>
                <w:sz w:val="22"/>
              </w:rPr>
              <w:t>Direct</w:t>
            </w:r>
          </w:p>
        </w:tc>
      </w:tr>
      <w:tr>
        <w:tc>
          <w:tcPr>
            <w:tcW w:type="dxa" w:w="2160"/>
          </w:tcPr>
          <w:p>
            <w:r>
              <w:rPr>
                <w:rFonts w:ascii="Calibri" w:hAnsi="Calibri"/>
                <w:sz w:val="22"/>
              </w:rPr>
              <w:t>Personal Auto Frequency</w:t>
            </w:r>
          </w:p>
        </w:tc>
        <w:tc>
          <w:tcPr>
            <w:tcW w:type="dxa" w:w="2160"/>
          </w:tcPr>
          <w:p>
            <w:r>
              <w:rPr>
                <w:rFonts w:ascii="Calibri" w:hAnsi="Calibri"/>
                <w:sz w:val="22"/>
              </w:rPr>
              <w:t>Favorable across multiple coverages, particularly collision</w:t>
            </w:r>
          </w:p>
        </w:tc>
        <w:tc>
          <w:tcPr>
            <w:tcW w:type="dxa" w:w="2160"/>
          </w:tcPr>
          <w:p>
            <w:r>
              <w:rPr>
                <w:rFonts w:ascii="Calibri" w:hAnsi="Calibri"/>
                <w:b/>
                <w:color w:val="30A46C"/>
                <w:sz w:val="22"/>
              </w:rPr>
              <w:t>Positive: favorable auto frequency is a broad industry tailwind that should benefit ERIE's Exchange auto combined ratio.</w:t>
            </w:r>
          </w:p>
        </w:tc>
        <w:tc>
          <w:tcPr>
            <w:tcW w:type="dxa" w:w="2160"/>
          </w:tcPr>
          <w:p>
            <w:r>
              <w:rPr>
                <w:rFonts w:ascii="Calibri" w:hAnsi="Calibri"/>
                <w:sz w:val="22"/>
              </w:rPr>
              <w:t>Direct</w:t>
            </w:r>
          </w:p>
        </w:tc>
      </w:tr>
      <w:tr>
        <w:tc>
          <w:tcPr>
            <w:tcW w:type="dxa" w:w="2160"/>
          </w:tcPr>
          <w:p>
            <w:r>
              <w:rPr>
                <w:rFonts w:ascii="Calibri" w:hAnsi="Calibri"/>
                <w:sz w:val="22"/>
              </w:rPr>
              <w:t>Homeowners Attritional Loss Frequency</w:t>
            </w:r>
          </w:p>
        </w:tc>
        <w:tc>
          <w:tcPr>
            <w:tcW w:type="dxa" w:w="2160"/>
          </w:tcPr>
          <w:p>
            <w:r>
              <w:rPr>
                <w:rFonts w:ascii="Calibri" w:hAnsi="Calibri"/>
                <w:sz w:val="22"/>
              </w:rPr>
              <w:t>Very favorable; lower large and weather-related losses vs. prior year; deductible changes reducing small claims</w:t>
            </w:r>
          </w:p>
        </w:tc>
        <w:tc>
          <w:tcPr>
            <w:tcW w:type="dxa" w:w="2160"/>
          </w:tcPr>
          <w:p>
            <w:r>
              <w:rPr>
                <w:rFonts w:ascii="Calibri" w:hAnsi="Calibri"/>
                <w:b/>
                <w:color w:val="30A46C"/>
                <w:sz w:val="22"/>
              </w:rPr>
              <w:t>Positive: favorable HO attritional frequency is a direct read-through for ERIE's homeowners book.</w:t>
            </w:r>
          </w:p>
        </w:tc>
        <w:tc>
          <w:tcPr>
            <w:tcW w:type="dxa" w:w="2160"/>
          </w:tcPr>
          <w:p>
            <w:r>
              <w:rPr>
                <w:rFonts w:ascii="Calibri" w:hAnsi="Calibri"/>
                <w:sz w:val="22"/>
              </w:rPr>
              <w:t>Direct</w:t>
            </w:r>
          </w:p>
        </w:tc>
      </w:tr>
      <w:tr>
        <w:tc>
          <w:tcPr>
            <w:tcW w:type="dxa" w:w="2160"/>
          </w:tcPr>
          <w:p>
            <w:r>
              <w:rPr>
                <w:rFonts w:ascii="Calibri" w:hAnsi="Calibri"/>
                <w:sz w:val="22"/>
              </w:rPr>
              <w:t>Prior-Year Reserve Development</w:t>
            </w:r>
          </w:p>
        </w:tc>
        <w:tc>
          <w:tcPr>
            <w:tcW w:type="dxa" w:w="2160"/>
          </w:tcPr>
          <w:p>
            <w:r>
              <w:rPr>
                <w:rFonts w:ascii="Calibri" w:hAnsi="Calibri"/>
                <w:sz w:val="22"/>
              </w:rPr>
              <w:t>$21.5M favorable across all segments (HO, auto property, specialty)</w:t>
            </w:r>
          </w:p>
        </w:tc>
        <w:tc>
          <w:tcPr>
            <w:tcW w:type="dxa" w:w="2160"/>
          </w:tcPr>
          <w:p>
            <w:r>
              <w:rPr>
                <w:rFonts w:ascii="Calibri" w:hAnsi="Calibri"/>
                <w:b/>
                <w:color w:val="30A46C"/>
                <w:sz w:val="22"/>
              </w:rPr>
              <w:t>Positive: broad-based favorable development in personal lines property coverages is a constructive read-through for ERIE's reserve adequacy.</w:t>
            </w:r>
          </w:p>
        </w:tc>
        <w:tc>
          <w:tcPr>
            <w:tcW w:type="dxa" w:w="2160"/>
          </w:tcPr>
          <w:p>
            <w:r>
              <w:rPr>
                <w:rFonts w:ascii="Calibri" w:hAnsi="Calibri"/>
                <w:sz w:val="22"/>
              </w:rPr>
              <w:t>Direct</w:t>
            </w:r>
          </w:p>
        </w:tc>
      </w:tr>
      <w:tr>
        <w:tc>
          <w:tcPr>
            <w:tcW w:type="dxa" w:w="2160"/>
          </w:tcPr>
          <w:p>
            <w:r>
              <w:rPr>
                <w:rFonts w:ascii="Calibri" w:hAnsi="Calibri"/>
                <w:sz w:val="22"/>
              </w:rPr>
              <w:t>Net Investment Income</w:t>
            </w:r>
          </w:p>
        </w:tc>
        <w:tc>
          <w:tcPr>
            <w:tcW w:type="dxa" w:w="2160"/>
          </w:tcPr>
          <w:p>
            <w:r>
              <w:rPr>
                <w:rFonts w:ascii="Calibri" w:hAnsi="Calibri"/>
                <w:sz w:val="22"/>
              </w:rPr>
              <w:t>+13.4% YoY; fixed income portfolio yield 4.45% (up from 4.24% a year ago); reinvesting above embedded yield</w:t>
            </w:r>
          </w:p>
        </w:tc>
        <w:tc>
          <w:tcPr>
            <w:tcW w:type="dxa" w:w="2160"/>
          </w:tcPr>
          <w:p>
            <w:r>
              <w:rPr>
                <w:rFonts w:ascii="Calibri" w:hAnsi="Calibri"/>
                <w:b/>
                <w:color w:val="30A46C"/>
                <w:sz w:val="22"/>
              </w:rPr>
              <w:t>Positive: ERIE's conservative fixed-income portfolio should benefit from the same reinvestment tailwind.</w:t>
            </w:r>
          </w:p>
        </w:tc>
        <w:tc>
          <w:tcPr>
            <w:tcW w:type="dxa" w:w="2160"/>
          </w:tcPr>
          <w:p>
            <w:r>
              <w:rPr>
                <w:rFonts w:ascii="Calibri" w:hAnsi="Calibri"/>
                <w:sz w:val="22"/>
              </w:rPr>
              <w:t>Direct</w:t>
            </w:r>
          </w:p>
        </w:tc>
      </w:tr>
      <w:tr>
        <w:tc>
          <w:tcPr>
            <w:tcW w:type="dxa" w:w="2160"/>
          </w:tcPr>
          <w:p>
            <w:r>
              <w:rPr>
                <w:rFonts w:ascii="Calibri" w:hAnsi="Calibri"/>
                <w:sz w:val="22"/>
              </w:rPr>
              <w:t>Commercial Liability Picks</w:t>
            </w:r>
          </w:p>
        </w:tc>
        <w:tc>
          <w:tcPr>
            <w:tcW w:type="dxa" w:w="2160"/>
          </w:tcPr>
          <w:p>
            <w:r>
              <w:rPr>
                <w:rFonts w:ascii="Calibri" w:hAnsi="Calibri"/>
                <w:sz w:val="22"/>
              </w:rPr>
              <w:t>Prudently increased liability picks in 2026; acknowledges "legal system abuse" and deteriorating trends in liability lines</w:t>
            </w:r>
          </w:p>
        </w:tc>
        <w:tc>
          <w:tcPr>
            <w:tcW w:type="dxa" w:w="2160"/>
          </w:tcPr>
          <w:p>
            <w:r>
              <w:rPr>
                <w:rFonts w:ascii="Calibri" w:hAnsi="Calibri"/>
                <w:b/>
                <w:color w:val="E5484D"/>
                <w:sz w:val="22"/>
              </w:rPr>
              <w:t>Watch: ERIE's commercial lines may face similar social inflation pressures; watch for any adverse development commentary.</w:t>
            </w:r>
          </w:p>
        </w:tc>
        <w:tc>
          <w:tcPr>
            <w:tcW w:type="dxa" w:w="2160"/>
          </w:tcPr>
          <w:p>
            <w:r>
              <w:rPr>
                <w:rFonts w:ascii="Calibri" w:hAnsi="Calibri"/>
                <w:sz w:val="22"/>
              </w:rPr>
              <w:t>Direct</w:t>
            </w:r>
          </w:p>
        </w:tc>
      </w:tr>
      <w:tr>
        <w:tc>
          <w:tcPr>
            <w:tcW w:type="dxa" w:w="2160"/>
          </w:tcPr>
          <w:p>
            <w:r>
              <w:rPr>
                <w:rFonts w:ascii="Calibri" w:hAnsi="Calibri"/>
                <w:sz w:val="22"/>
              </w:rPr>
              <w:t>Reinsurance Renewal (July 1)</w:t>
            </w:r>
          </w:p>
        </w:tc>
        <w:tc>
          <w:tcPr>
            <w:tcW w:type="dxa" w:w="2160"/>
          </w:tcPr>
          <w:p>
            <w:r>
              <w:rPr>
                <w:rFonts w:ascii="Calibri" w:hAnsi="Calibri"/>
                <w:sz w:val="22"/>
              </w:rPr>
              <w:t>Very successful; new $150M cat bond upsized; substantial reductions in reinsurance costs on risk-adjusted basis</w:t>
            </w:r>
          </w:p>
        </w:tc>
        <w:tc>
          <w:tcPr>
            <w:tcW w:type="dxa" w:w="2160"/>
          </w:tcPr>
          <w:p>
            <w:r>
              <w:rPr>
                <w:rFonts w:ascii="Calibri" w:hAnsi="Calibri"/>
                <w:b/>
                <w:color w:val="30A46C"/>
                <w:sz w:val="22"/>
              </w:rPr>
              <w:t>Positive: favorable reinsurance market conditions benefit ERIE's future cat reinsurance costs and capacity.</w:t>
            </w:r>
          </w:p>
        </w:tc>
        <w:tc>
          <w:tcPr>
            <w:tcW w:type="dxa" w:w="2160"/>
          </w:tcPr>
          <w:p>
            <w:r>
              <w:rPr>
                <w:rFonts w:ascii="Calibri" w:hAnsi="Calibri"/>
                <w:sz w:val="22"/>
              </w:rPr>
              <w:t>Indirect</w:t>
            </w:r>
          </w:p>
        </w:tc>
      </w:tr>
    </w:tbl>
    <w:p>
      <w:r>
        <w:rPr>
          <w:rFonts w:ascii="Calibri" w:hAnsi="Calibri"/>
          <w:b/>
          <w:color w:val="525866"/>
          <w:sz w:val="22"/>
        </w:rPr>
        <w:t xml:space="preserve">Caveat: </w:t>
      </w:r>
      <w:r>
        <w:rPr>
          <w:rFonts w:ascii="Calibri" w:hAnsi="Calibri"/>
          <w:color w:val="525866"/>
          <w:sz w:val="22"/>
        </w:rPr>
        <w:t>THG is actively shifting its personal lines mix toward higher-valued "Prestige" customers ($750K–$3M coverage A), which may exhibit different price elasticity and loss characteristics than ERIE's broader standard personal lines book. THG's commercial lines focus is on smaller accounts, consistent with ERIE's commercial mix.</w:t>
      </w:r>
    </w:p>
    <w:p>
      <w:pPr>
        <w:pStyle w:val="Heading3"/>
      </w:pPr>
      <w:r>
        <w:rPr>
          <w:rFonts w:ascii="Calibri" w:hAnsi="Calibri"/>
          <w:b/>
          <w:color w:val="3B4259"/>
          <w:sz w:val="24"/>
        </w:rPr>
        <w:t>8.2 The Travelers Companies (TRV) — Strong Read-Through on Personal Lines &amp; Investment Income</w:t>
      </w:r>
    </w:p>
    <w:p>
      <w:r>
        <w:rPr>
          <w:rFonts w:ascii="Calibri" w:hAnsi="Calibri"/>
          <w:b/>
          <w:color w:val="525866"/>
          <w:sz w:val="22"/>
        </w:rPr>
        <w:t xml:space="preserve">Reported: July 17, 2026 (Q2 2026). Relevance: </w:t>
      </w:r>
      <w:r>
        <w:rPr>
          <w:rFonts w:ascii="Calibri" w:hAnsi="Calibri"/>
          <w:color w:val="525866"/>
          <w:sz w:val="22"/>
        </w:rPr>
        <w:t>TRV is the largest commercial lines P&amp;C insurer with a meaningful personal lines segment. Its Q2 2026 results provide strong read-throughs on personal auto/homeowners pricing, frequency/severity, reserve development, and investment income.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Indicator</w:t>
            </w:r>
          </w:p>
        </w:tc>
        <w:tc>
          <w:tcPr>
            <w:tcW w:type="dxa" w:w="2160"/>
            <w:shd w:val="clear" w:color="auto" w:fill="3B4259"/>
          </w:tcPr>
          <w:p>
            <w:r>
              <w:rPr>
                <w:rFonts w:ascii="Calibri" w:hAnsi="Calibri"/>
                <w:b/>
                <w:color w:val="FFFFFF"/>
                <w:sz w:val="22"/>
              </w:rPr>
              <w:t>TRV Q2 2026 Result</w:t>
            </w:r>
          </w:p>
        </w:tc>
        <w:tc>
          <w:tcPr>
            <w:tcW w:type="dxa" w:w="2160"/>
            <w:shd w:val="clear" w:color="auto" w:fill="3B4259"/>
          </w:tcPr>
          <w:p>
            <w:r>
              <w:rPr>
                <w:rFonts w:ascii="Calibri" w:hAnsi="Calibri"/>
                <w:b/>
                <w:color w:val="FFFFFF"/>
                <w:sz w:val="22"/>
              </w:rPr>
              <w:t>ERIE Read-Through</w:t>
            </w:r>
          </w:p>
        </w:tc>
        <w:tc>
          <w:tcPr>
            <w:tcW w:type="dxa" w:w="2160"/>
            <w:shd w:val="clear" w:color="auto" w:fill="3B4259"/>
          </w:tcPr>
          <w:p>
            <w:r>
              <w:rPr>
                <w:rFonts w:ascii="Calibri" w:hAnsi="Calibri"/>
                <w:b/>
                <w:color w:val="FFFFFF"/>
                <w:sz w:val="22"/>
              </w:rPr>
              <w:t>Direct / Indirect</w:t>
            </w:r>
          </w:p>
        </w:tc>
      </w:tr>
      <w:tr>
        <w:tc>
          <w:tcPr>
            <w:tcW w:type="dxa" w:w="2160"/>
          </w:tcPr>
          <w:p>
            <w:r>
              <w:rPr>
                <w:rFonts w:ascii="Calibri" w:hAnsi="Calibri"/>
                <w:sz w:val="22"/>
              </w:rPr>
              <w:t>Personal Auto Renewal Pricing</w:t>
            </w:r>
          </w:p>
        </w:tc>
        <w:tc>
          <w:tcPr>
            <w:tcW w:type="dxa" w:w="2160"/>
          </w:tcPr>
          <w:p>
            <w:r>
              <w:rPr>
                <w:rFonts w:ascii="Calibri" w:hAnsi="Calibri"/>
                <w:sz w:val="22"/>
              </w:rPr>
              <w:t>Flat (0%); rate environment broadly decreasing in personal auto as profitability improves</w:t>
            </w:r>
          </w:p>
        </w:tc>
        <w:tc>
          <w:tcPr>
            <w:tcW w:type="dxa" w:w="2160"/>
          </w:tcPr>
          <w:p>
            <w:r>
              <w:rPr>
                <w:rFonts w:ascii="Calibri" w:hAnsi="Calibri"/>
                <w:b/>
                <w:color w:val="E5484D"/>
                <w:sz w:val="22"/>
              </w:rPr>
              <w:t>Mixed: TRV's flat auto pricing signals the market is normalizing. ERIE's +8.1% avg premium/policy in Q1 2026 suggests it is still earning rate, but competitive pressure is building.</w:t>
            </w:r>
          </w:p>
        </w:tc>
        <w:tc>
          <w:tcPr>
            <w:tcW w:type="dxa" w:w="2160"/>
          </w:tcPr>
          <w:p>
            <w:r>
              <w:rPr>
                <w:rFonts w:ascii="Calibri" w:hAnsi="Calibri"/>
                <w:sz w:val="22"/>
              </w:rPr>
              <w:t>Direct</w:t>
            </w:r>
          </w:p>
        </w:tc>
      </w:tr>
      <w:tr>
        <w:tc>
          <w:tcPr>
            <w:tcW w:type="dxa" w:w="2160"/>
          </w:tcPr>
          <w:p>
            <w:r>
              <w:rPr>
                <w:rFonts w:ascii="Calibri" w:hAnsi="Calibri"/>
                <w:sz w:val="22"/>
              </w:rPr>
              <w:t>Homeowners Renewal Pricing</w:t>
            </w:r>
          </w:p>
        </w:tc>
        <w:tc>
          <w:tcPr>
            <w:tcW w:type="dxa" w:w="2160"/>
          </w:tcPr>
          <w:p>
            <w:r>
              <w:rPr>
                <w:rFonts w:ascii="Calibri" w:hAnsi="Calibri"/>
                <w:sz w:val="22"/>
              </w:rPr>
              <w:t>+6.6% (moderating as intended given improved profitability)</w:t>
            </w:r>
          </w:p>
        </w:tc>
        <w:tc>
          <w:tcPr>
            <w:tcW w:type="dxa" w:w="2160"/>
          </w:tcPr>
          <w:p>
            <w:r>
              <w:rPr>
                <w:rFonts w:ascii="Calibri" w:hAnsi="Calibri"/>
                <w:b/>
                <w:color w:val="30A46C"/>
                <w:sz w:val="22"/>
              </w:rPr>
              <w:t>Positive: home pricing still positive; consistent with THG's +10.9%. ERIE's homeowners book should benefit from continued rate adequacy.</w:t>
            </w:r>
          </w:p>
        </w:tc>
        <w:tc>
          <w:tcPr>
            <w:tcW w:type="dxa" w:w="2160"/>
          </w:tcPr>
          <w:p>
            <w:r>
              <w:rPr>
                <w:rFonts w:ascii="Calibri" w:hAnsi="Calibri"/>
                <w:sz w:val="22"/>
              </w:rPr>
              <w:t>Direct</w:t>
            </w:r>
          </w:p>
        </w:tc>
      </w:tr>
      <w:tr>
        <w:tc>
          <w:tcPr>
            <w:tcW w:type="dxa" w:w="2160"/>
          </w:tcPr>
          <w:p>
            <w:r>
              <w:rPr>
                <w:rFonts w:ascii="Calibri" w:hAnsi="Calibri"/>
                <w:sz w:val="22"/>
              </w:rPr>
              <w:t>Personal Auto Frequency &amp; Severity</w:t>
            </w:r>
          </w:p>
        </w:tc>
        <w:tc>
          <w:tcPr>
            <w:tcW w:type="dxa" w:w="2160"/>
          </w:tcPr>
          <w:p>
            <w:r>
              <w:rPr>
                <w:rFonts w:ascii="Calibri" w:hAnsi="Calibri"/>
                <w:sz w:val="22"/>
              </w:rPr>
              <w:t>Favorable combination of frequency and severity; improving vehicle technology cited as contributor</w:t>
            </w:r>
          </w:p>
        </w:tc>
        <w:tc>
          <w:tcPr>
            <w:tcW w:type="dxa" w:w="2160"/>
          </w:tcPr>
          <w:p>
            <w:r>
              <w:rPr>
                <w:rFonts w:ascii="Calibri" w:hAnsi="Calibri"/>
                <w:b/>
                <w:color w:val="30A46C"/>
                <w:sz w:val="22"/>
              </w:rPr>
              <w:t>Positive: broad-based favorable auto loss trends are a direct read-through for ERIE's Exchange auto combined ratio.</w:t>
            </w:r>
          </w:p>
        </w:tc>
        <w:tc>
          <w:tcPr>
            <w:tcW w:type="dxa" w:w="2160"/>
          </w:tcPr>
          <w:p>
            <w:r>
              <w:rPr>
                <w:rFonts w:ascii="Calibri" w:hAnsi="Calibri"/>
                <w:sz w:val="22"/>
              </w:rPr>
              <w:t>Direct</w:t>
            </w:r>
          </w:p>
        </w:tc>
      </w:tr>
      <w:tr>
        <w:tc>
          <w:tcPr>
            <w:tcW w:type="dxa" w:w="2160"/>
          </w:tcPr>
          <w:p>
            <w:r>
              <w:rPr>
                <w:rFonts w:ascii="Calibri" w:hAnsi="Calibri"/>
                <w:sz w:val="22"/>
              </w:rPr>
              <w:t>Personal Auto Retention</w:t>
            </w:r>
          </w:p>
        </w:tc>
        <w:tc>
          <w:tcPr>
            <w:tcW w:type="dxa" w:w="2160"/>
          </w:tcPr>
          <w:p>
            <w:r>
              <w:rPr>
                <w:rFonts w:ascii="Calibri" w:hAnsi="Calibri"/>
                <w:sz w:val="22"/>
              </w:rPr>
              <w:t>82% (consistent with recent periods)</w:t>
            </w:r>
          </w:p>
        </w:tc>
        <w:tc>
          <w:tcPr>
            <w:tcW w:type="dxa" w:w="2160"/>
          </w:tcPr>
          <w:p>
            <w:r>
              <w:rPr>
                <w:rFonts w:ascii="Calibri" w:hAnsi="Calibri"/>
                <w:sz w:val="22"/>
              </w:rPr>
              <w:t>Context: ERIE's Q1 2026 retention was 88%, above TRV's 82%. Watch for any sequential change in ERIE's retention on the Q2 call.</w:t>
            </w:r>
          </w:p>
        </w:tc>
        <w:tc>
          <w:tcPr>
            <w:tcW w:type="dxa" w:w="2160"/>
          </w:tcPr>
          <w:p>
            <w:r>
              <w:rPr>
                <w:rFonts w:ascii="Calibri" w:hAnsi="Calibri"/>
                <w:sz w:val="22"/>
              </w:rPr>
              <w:t>Direct</w:t>
            </w:r>
          </w:p>
        </w:tc>
      </w:tr>
      <w:tr>
        <w:tc>
          <w:tcPr>
            <w:tcW w:type="dxa" w:w="2160"/>
          </w:tcPr>
          <w:p>
            <w:r>
              <w:rPr>
                <w:rFonts w:ascii="Calibri" w:hAnsi="Calibri"/>
                <w:sz w:val="22"/>
              </w:rPr>
              <w:t>Homeowners Retention</w:t>
            </w:r>
          </w:p>
        </w:tc>
        <w:tc>
          <w:tcPr>
            <w:tcW w:type="dxa" w:w="2160"/>
          </w:tcPr>
          <w:p>
            <w:r>
              <w:rPr>
                <w:rFonts w:ascii="Calibri" w:hAnsi="Calibri"/>
                <w:sz w:val="22"/>
              </w:rPr>
              <w:t>85% (strong); new business premium and policy count both increased YoY</w:t>
            </w:r>
          </w:p>
        </w:tc>
        <w:tc>
          <w:tcPr>
            <w:tcW w:type="dxa" w:w="2160"/>
          </w:tcPr>
          <w:p>
            <w:r>
              <w:rPr>
                <w:rFonts w:ascii="Calibri" w:hAnsi="Calibri"/>
                <w:b/>
                <w:color w:val="30A46C"/>
                <w:sz w:val="22"/>
              </w:rPr>
              <w:t>Positive: strong HO retention and new business growth at TRV suggests the homeowners market is healthy for well-positioned carriers.</w:t>
            </w:r>
          </w:p>
        </w:tc>
        <w:tc>
          <w:tcPr>
            <w:tcW w:type="dxa" w:w="2160"/>
          </w:tcPr>
          <w:p>
            <w:r>
              <w:rPr>
                <w:rFonts w:ascii="Calibri" w:hAnsi="Calibri"/>
                <w:sz w:val="22"/>
              </w:rPr>
              <w:t>Direct</w:t>
            </w:r>
          </w:p>
        </w:tc>
      </w:tr>
      <w:tr>
        <w:tc>
          <w:tcPr>
            <w:tcW w:type="dxa" w:w="2160"/>
          </w:tcPr>
          <w:p>
            <w:r>
              <w:rPr>
                <w:rFonts w:ascii="Calibri" w:hAnsi="Calibri"/>
                <w:sz w:val="22"/>
              </w:rPr>
              <w:t>Catastrophe Losses</w:t>
            </w:r>
          </w:p>
        </w:tc>
        <w:tc>
          <w:tcPr>
            <w:tcW w:type="dxa" w:w="2160"/>
          </w:tcPr>
          <w:p>
            <w:r>
              <w:rPr>
                <w:rFonts w:ascii="Calibri" w:hAnsi="Calibri"/>
                <w:sz w:val="22"/>
              </w:rPr>
              <w:t>~$400M+ after-tax; homeowners experienced "modest" cat losses; Q2 HO combined ratio 76.7%</w:t>
            </w:r>
          </w:p>
        </w:tc>
        <w:tc>
          <w:tcPr>
            <w:tcW w:type="dxa" w:w="2160"/>
          </w:tcPr>
          <w:p>
            <w:r>
              <w:rPr>
                <w:rFonts w:ascii="Calibri" w:hAnsi="Calibri"/>
                <w:b/>
                <w:color w:val="30A46C"/>
                <w:sz w:val="22"/>
              </w:rPr>
              <w:t>Modestly positive: "modest" cat losses in homeowners at TRV is a constructive read-through for ERIE's property book.</w:t>
            </w:r>
          </w:p>
        </w:tc>
        <w:tc>
          <w:tcPr>
            <w:tcW w:type="dxa" w:w="2160"/>
          </w:tcPr>
          <w:p>
            <w:r>
              <w:rPr>
                <w:rFonts w:ascii="Calibri" w:hAnsi="Calibri"/>
                <w:sz w:val="22"/>
              </w:rPr>
              <w:t>Direct</w:t>
            </w:r>
          </w:p>
        </w:tc>
      </w:tr>
      <w:tr>
        <w:tc>
          <w:tcPr>
            <w:tcW w:type="dxa" w:w="2160"/>
          </w:tcPr>
          <w:p>
            <w:r>
              <w:rPr>
                <w:rFonts w:ascii="Calibri" w:hAnsi="Calibri"/>
                <w:sz w:val="22"/>
              </w:rPr>
              <w:t>Prior-Year Reserve Development</w:t>
            </w:r>
          </w:p>
        </w:tc>
        <w:tc>
          <w:tcPr>
            <w:tcW w:type="dxa" w:w="2160"/>
          </w:tcPr>
          <w:p>
            <w:r>
              <w:rPr>
                <w:rFonts w:ascii="Calibri" w:hAnsi="Calibri"/>
                <w:sz w:val="22"/>
              </w:rPr>
              <w:t>$578M pre-tax favorable across all three segments; personal lines: $184M favorable (both home and auto); no pressure in casualty/umbrella/commercial auto</w:t>
            </w:r>
          </w:p>
        </w:tc>
        <w:tc>
          <w:tcPr>
            <w:tcW w:type="dxa" w:w="2160"/>
          </w:tcPr>
          <w:p>
            <w:r>
              <w:rPr>
                <w:rFonts w:ascii="Calibri" w:hAnsi="Calibri"/>
                <w:b/>
                <w:color w:val="30A46C"/>
                <w:sz w:val="22"/>
              </w:rPr>
              <w:t>Positive: broad favorable development in personal auto and home, with no casualty pressure, is a strong read-through for ERIE's reserve adequacy.</w:t>
            </w:r>
          </w:p>
        </w:tc>
        <w:tc>
          <w:tcPr>
            <w:tcW w:type="dxa" w:w="2160"/>
          </w:tcPr>
          <w:p>
            <w:r>
              <w:rPr>
                <w:rFonts w:ascii="Calibri" w:hAnsi="Calibri"/>
                <w:sz w:val="22"/>
              </w:rPr>
              <w:t>Direct</w:t>
            </w:r>
          </w:p>
        </w:tc>
      </w:tr>
      <w:tr>
        <w:tc>
          <w:tcPr>
            <w:tcW w:type="dxa" w:w="2160"/>
          </w:tcPr>
          <w:p>
            <w:r>
              <w:rPr>
                <w:rFonts w:ascii="Calibri" w:hAnsi="Calibri"/>
                <w:sz w:val="22"/>
              </w:rPr>
              <w:t>Net Investment Income</w:t>
            </w:r>
          </w:p>
        </w:tc>
        <w:tc>
          <w:tcPr>
            <w:tcW w:type="dxa" w:w="2160"/>
          </w:tcPr>
          <w:p>
            <w:r>
              <w:rPr>
                <w:rFonts w:ascii="Calibri" w:hAnsi="Calibri"/>
                <w:sz w:val="22"/>
              </w:rPr>
              <w:t>+14% YoY to $883M after-tax; new money yields ~90 bps above embedded portfolio yield; expects continued growth beyond 2026</w:t>
            </w:r>
          </w:p>
        </w:tc>
        <w:tc>
          <w:tcPr>
            <w:tcW w:type="dxa" w:w="2160"/>
          </w:tcPr>
          <w:p>
            <w:r>
              <w:rPr>
                <w:rFonts w:ascii="Calibri" w:hAnsi="Calibri"/>
                <w:b/>
                <w:color w:val="30A46C"/>
                <w:sz w:val="22"/>
              </w:rPr>
              <w:t>Positive: the fixed-income reinvestment tailwind is intact and growing; ERIE's investment income should continue to grow at a double-digit YoY rate.</w:t>
            </w:r>
          </w:p>
        </w:tc>
        <w:tc>
          <w:tcPr>
            <w:tcW w:type="dxa" w:w="2160"/>
          </w:tcPr>
          <w:p>
            <w:r>
              <w:rPr>
                <w:rFonts w:ascii="Calibri" w:hAnsi="Calibri"/>
                <w:sz w:val="22"/>
              </w:rPr>
              <w:t>Direct</w:t>
            </w:r>
          </w:p>
        </w:tc>
      </w:tr>
    </w:tbl>
    <w:p>
      <w:r>
        <w:rPr>
          <w:rFonts w:ascii="Calibri" w:hAnsi="Calibri"/>
          <w:b/>
          <w:color w:val="525866"/>
          <w:sz w:val="22"/>
        </w:rPr>
        <w:t xml:space="preserve">Caveat: </w:t>
      </w:r>
      <w:r>
        <w:rPr>
          <w:rFonts w:ascii="Calibri" w:hAnsi="Calibri"/>
          <w:color w:val="525866"/>
          <w:sz w:val="22"/>
        </w:rPr>
        <w:t>TRV is a large, diversified national insurer with significant commercial lines (Business Insurance, Bond &amp; Specialty) that are less relevant to ERIE's mix. TRV's personal lines segment is smaller relative to its total book than ERIE's. TRV's decision not to renew its personal lines cat XoL treaty (replaced by a more efficient enterprise-wide program) is specific to TRV's portfolio structure and does not directly translate to ERIE.</w:t>
      </w:r>
    </w:p>
    <w:p>
      <w:pPr>
        <w:pStyle w:val="Heading3"/>
      </w:pPr>
      <w:r>
        <w:rPr>
          <w:rFonts w:ascii="Calibri" w:hAnsi="Calibri"/>
          <w:b/>
          <w:color w:val="3B4259"/>
          <w:sz w:val="24"/>
        </w:rPr>
        <w:t>8.3 The Hartford (HIG) — Personal Lines Pricing &amp; Casualty Reserve Watch</w:t>
      </w:r>
    </w:p>
    <w:p>
      <w:r>
        <w:rPr>
          <w:rFonts w:ascii="Calibri" w:hAnsi="Calibri"/>
          <w:b/>
          <w:color w:val="525866"/>
          <w:sz w:val="22"/>
        </w:rPr>
        <w:t xml:space="preserve">Reported: July 23–24, 2026 (Q2 2026). Relevance: </w:t>
      </w:r>
      <w:r>
        <w:rPr>
          <w:rFonts w:ascii="Calibri" w:hAnsi="Calibri"/>
          <w:color w:val="525866"/>
          <w:sz w:val="22"/>
        </w:rPr>
        <w:t>HIG provides relevant read-throughs on personal auto/homeowners pricing, retention, catastrophe losses, and — importantly — adverse reserve development in commercial auto and general liability that is a watch item for ERIE's commercial lines.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Indicator</w:t>
            </w:r>
          </w:p>
        </w:tc>
        <w:tc>
          <w:tcPr>
            <w:tcW w:type="dxa" w:w="2160"/>
            <w:shd w:val="clear" w:color="auto" w:fill="3B4259"/>
          </w:tcPr>
          <w:p>
            <w:r>
              <w:rPr>
                <w:rFonts w:ascii="Calibri" w:hAnsi="Calibri"/>
                <w:b/>
                <w:color w:val="FFFFFF"/>
                <w:sz w:val="22"/>
              </w:rPr>
              <w:t>HIG Q2 2026 Result</w:t>
            </w:r>
          </w:p>
        </w:tc>
        <w:tc>
          <w:tcPr>
            <w:tcW w:type="dxa" w:w="2160"/>
            <w:shd w:val="clear" w:color="auto" w:fill="3B4259"/>
          </w:tcPr>
          <w:p>
            <w:r>
              <w:rPr>
                <w:rFonts w:ascii="Calibri" w:hAnsi="Calibri"/>
                <w:b/>
                <w:color w:val="FFFFFF"/>
                <w:sz w:val="22"/>
              </w:rPr>
              <w:t>ERIE Read-Through</w:t>
            </w:r>
          </w:p>
        </w:tc>
        <w:tc>
          <w:tcPr>
            <w:tcW w:type="dxa" w:w="2160"/>
            <w:shd w:val="clear" w:color="auto" w:fill="3B4259"/>
          </w:tcPr>
          <w:p>
            <w:r>
              <w:rPr>
                <w:rFonts w:ascii="Calibri" w:hAnsi="Calibri"/>
                <w:b/>
                <w:color w:val="FFFFFF"/>
                <w:sz w:val="22"/>
              </w:rPr>
              <w:t>Direct / Indirect</w:t>
            </w:r>
          </w:p>
        </w:tc>
      </w:tr>
      <w:tr>
        <w:tc>
          <w:tcPr>
            <w:tcW w:type="dxa" w:w="2160"/>
          </w:tcPr>
          <w:p>
            <w:r>
              <w:rPr>
                <w:rFonts w:ascii="Calibri" w:hAnsi="Calibri"/>
                <w:sz w:val="22"/>
              </w:rPr>
              <w:t>Personal Auto Renewal Pricing</w:t>
            </w:r>
          </w:p>
        </w:tc>
        <w:tc>
          <w:tcPr>
            <w:tcW w:type="dxa" w:w="2160"/>
          </w:tcPr>
          <w:p>
            <w:r>
              <w:rPr>
                <w:rFonts w:ascii="Calibri" w:hAnsi="Calibri"/>
                <w:sz w:val="22"/>
              </w:rPr>
              <w:t>+5.5%; underlying combined ratio improved 1.9 pts YoY; earned pricing exceeds loss trend</w:t>
            </w:r>
          </w:p>
        </w:tc>
        <w:tc>
          <w:tcPr>
            <w:tcW w:type="dxa" w:w="2160"/>
          </w:tcPr>
          <w:p>
            <w:r>
              <w:rPr>
                <w:rFonts w:ascii="Calibri" w:hAnsi="Calibri"/>
                <w:b/>
                <w:color w:val="30A46C"/>
                <w:sz w:val="22"/>
              </w:rPr>
              <w:t>Positive: pricing still above loss trend in personal auto; consistent with THG's +7.1%. ERIE's Exchange auto should benefit from similar dynamics.</w:t>
            </w:r>
          </w:p>
        </w:tc>
        <w:tc>
          <w:tcPr>
            <w:tcW w:type="dxa" w:w="2160"/>
          </w:tcPr>
          <w:p>
            <w:r>
              <w:rPr>
                <w:rFonts w:ascii="Calibri" w:hAnsi="Calibri"/>
                <w:sz w:val="22"/>
              </w:rPr>
              <w:t>Direct</w:t>
            </w:r>
          </w:p>
        </w:tc>
      </w:tr>
      <w:tr>
        <w:tc>
          <w:tcPr>
            <w:tcW w:type="dxa" w:w="2160"/>
          </w:tcPr>
          <w:p>
            <w:r>
              <w:rPr>
                <w:rFonts w:ascii="Calibri" w:hAnsi="Calibri"/>
                <w:sz w:val="22"/>
              </w:rPr>
              <w:t>Homeowners Renewal Pricing</w:t>
            </w:r>
          </w:p>
        </w:tc>
        <w:tc>
          <w:tcPr>
            <w:tcW w:type="dxa" w:w="2160"/>
          </w:tcPr>
          <w:p>
            <w:r>
              <w:rPr>
                <w:rFonts w:ascii="Calibri" w:hAnsi="Calibri"/>
                <w:sz w:val="22"/>
              </w:rPr>
              <w:t>+10.4%; home results "remained strong" with consistent underwriting execution</w:t>
            </w:r>
          </w:p>
        </w:tc>
        <w:tc>
          <w:tcPr>
            <w:tcW w:type="dxa" w:w="2160"/>
          </w:tcPr>
          <w:p>
            <w:r>
              <w:rPr>
                <w:rFonts w:ascii="Calibri" w:hAnsi="Calibri"/>
                <w:b/>
                <w:color w:val="30A46C"/>
                <w:sz w:val="22"/>
              </w:rPr>
              <w:t>Positive: double-digit home pricing is consistent across peers; ERIE's homeowners book should benefit.</w:t>
            </w:r>
          </w:p>
        </w:tc>
        <w:tc>
          <w:tcPr>
            <w:tcW w:type="dxa" w:w="2160"/>
          </w:tcPr>
          <w:p>
            <w:r>
              <w:rPr>
                <w:rFonts w:ascii="Calibri" w:hAnsi="Calibri"/>
                <w:sz w:val="22"/>
              </w:rPr>
              <w:t>Direct</w:t>
            </w:r>
          </w:p>
        </w:tc>
      </w:tr>
      <w:tr>
        <w:tc>
          <w:tcPr>
            <w:tcW w:type="dxa" w:w="2160"/>
          </w:tcPr>
          <w:p>
            <w:r>
              <w:rPr>
                <w:rFonts w:ascii="Calibri" w:hAnsi="Calibri"/>
                <w:sz w:val="22"/>
              </w:rPr>
              <w:t>Personal Lines New Business / Competition</w:t>
            </w:r>
          </w:p>
        </w:tc>
        <w:tc>
          <w:tcPr>
            <w:tcW w:type="dxa" w:w="2160"/>
          </w:tcPr>
          <w:p>
            <w:r>
              <w:rPr>
                <w:rFonts w:ascii="Calibri" w:hAnsi="Calibri"/>
                <w:sz w:val="22"/>
              </w:rPr>
              <w:t>Competition for new business "remained elevated" and impacted growth in agency channel; overall personal insurance written premium declined 7% (auto -10%, home flat)</w:t>
            </w:r>
          </w:p>
        </w:tc>
        <w:tc>
          <w:tcPr>
            <w:tcW w:type="dxa" w:w="2160"/>
          </w:tcPr>
          <w:p>
            <w:r>
              <w:rPr>
                <w:rFonts w:ascii="Calibri" w:hAnsi="Calibri"/>
                <w:b/>
                <w:color w:val="E5484D"/>
                <w:sz w:val="22"/>
              </w:rPr>
              <w:t>Negative read-through: elevated competition in the agency channel is a direct headwind for ERIE's independent agent distribution model. Watch for any new business submission data on Q2 call.</w:t>
            </w:r>
          </w:p>
        </w:tc>
        <w:tc>
          <w:tcPr>
            <w:tcW w:type="dxa" w:w="2160"/>
          </w:tcPr>
          <w:p>
            <w:r>
              <w:rPr>
                <w:rFonts w:ascii="Calibri" w:hAnsi="Calibri"/>
                <w:sz w:val="22"/>
              </w:rPr>
              <w:t>Direct</w:t>
            </w:r>
          </w:p>
        </w:tc>
      </w:tr>
      <w:tr>
        <w:tc>
          <w:tcPr>
            <w:tcW w:type="dxa" w:w="2160"/>
          </w:tcPr>
          <w:p>
            <w:r>
              <w:rPr>
                <w:rFonts w:ascii="Calibri" w:hAnsi="Calibri"/>
                <w:sz w:val="22"/>
              </w:rPr>
              <w:t>Catastrophe Losses</w:t>
            </w:r>
          </w:p>
        </w:tc>
        <w:tc>
          <w:tcPr>
            <w:tcW w:type="dxa" w:w="2160"/>
          </w:tcPr>
          <w:p>
            <w:r>
              <w:rPr>
                <w:rFonts w:ascii="Calibri" w:hAnsi="Calibri"/>
                <w:sz w:val="22"/>
              </w:rPr>
              <w:t>$222M pre-tax current accident year cat losses; cat ratio unchanged at 4.9 pts</w:t>
            </w:r>
          </w:p>
        </w:tc>
        <w:tc>
          <w:tcPr>
            <w:tcW w:type="dxa" w:w="2160"/>
          </w:tcPr>
          <w:p>
            <w:r>
              <w:rPr>
                <w:rFonts w:ascii="Calibri" w:hAnsi="Calibri"/>
                <w:sz w:val="22"/>
              </w:rPr>
              <w:t>Neutral: cat ratio stable YoY; consistent with a manageable but present cat environment in Q2 2026.</w:t>
            </w:r>
          </w:p>
        </w:tc>
        <w:tc>
          <w:tcPr>
            <w:tcW w:type="dxa" w:w="2160"/>
          </w:tcPr>
          <w:p>
            <w:r>
              <w:rPr>
                <w:rFonts w:ascii="Calibri" w:hAnsi="Calibri"/>
                <w:sz w:val="22"/>
              </w:rPr>
              <w:t>Indirect</w:t>
            </w:r>
          </w:p>
        </w:tc>
      </w:tr>
      <w:tr>
        <w:tc>
          <w:tcPr>
            <w:tcW w:type="dxa" w:w="2160"/>
          </w:tcPr>
          <w:p>
            <w:r>
              <w:rPr>
                <w:rFonts w:ascii="Calibri" w:hAnsi="Calibri"/>
                <w:sz w:val="22"/>
              </w:rPr>
              <w:t>Commercial Auto Reserve Development</w:t>
            </w:r>
          </w:p>
        </w:tc>
        <w:tc>
          <w:tcPr>
            <w:tcW w:type="dxa" w:w="2160"/>
          </w:tcPr>
          <w:p>
            <w:r>
              <w:rPr>
                <w:rFonts w:ascii="Calibri" w:hAnsi="Calibri"/>
                <w:sz w:val="22"/>
              </w:rPr>
              <w:t>Adverse development in accident years 2023–2024; driven by higher severity and increasing attorney representation and time limit demands</w:t>
            </w:r>
          </w:p>
        </w:tc>
        <w:tc>
          <w:tcPr>
            <w:tcW w:type="dxa" w:w="2160"/>
          </w:tcPr>
          <w:p>
            <w:r>
              <w:rPr>
                <w:rFonts w:ascii="Calibri" w:hAnsi="Calibri"/>
                <w:b/>
                <w:color w:val="E5484D"/>
                <w:sz w:val="22"/>
              </w:rPr>
              <w:t>Watch: social inflation and attorney involvement in commercial auto is an industry-wide trend. ERIE's commercial auto book may face similar pressures; watch for any adverse development commentary.</w:t>
            </w:r>
          </w:p>
        </w:tc>
        <w:tc>
          <w:tcPr>
            <w:tcW w:type="dxa" w:w="2160"/>
          </w:tcPr>
          <w:p>
            <w:r>
              <w:rPr>
                <w:rFonts w:ascii="Calibri" w:hAnsi="Calibri"/>
                <w:sz w:val="22"/>
              </w:rPr>
              <w:t>Direct</w:t>
            </w:r>
          </w:p>
        </w:tc>
      </w:tr>
      <w:tr>
        <w:tc>
          <w:tcPr>
            <w:tcW w:type="dxa" w:w="2160"/>
          </w:tcPr>
          <w:p>
            <w:r>
              <w:rPr>
                <w:rFonts w:ascii="Calibri" w:hAnsi="Calibri"/>
                <w:sz w:val="22"/>
              </w:rPr>
              <w:t>General Liability Reserve Development</w:t>
            </w:r>
          </w:p>
        </w:tc>
        <w:tc>
          <w:tcPr>
            <w:tcW w:type="dxa" w:w="2160"/>
          </w:tcPr>
          <w:p>
            <w:r>
              <w:rPr>
                <w:rFonts w:ascii="Calibri" w:hAnsi="Calibri"/>
                <w:sz w:val="22"/>
              </w:rPr>
              <w:t>Reserves increased for higher frequency of large losses in excess casualty and umbrella across multiple accident years (2017, 2018, 2019, 2022, 2023)</w:t>
            </w:r>
          </w:p>
        </w:tc>
        <w:tc>
          <w:tcPr>
            <w:tcW w:type="dxa" w:w="2160"/>
          </w:tcPr>
          <w:p>
            <w:r>
              <w:rPr>
                <w:rFonts w:ascii="Calibri" w:hAnsi="Calibri"/>
                <w:b/>
                <w:color w:val="E5484D"/>
                <w:sz w:val="22"/>
              </w:rPr>
              <w:t>Watch: elevated large loss frequency in GL/umbrella is an industry-wide concern. ERIE's commercial GL exposure should be monitored.</w:t>
            </w:r>
          </w:p>
        </w:tc>
        <w:tc>
          <w:tcPr>
            <w:tcW w:type="dxa" w:w="2160"/>
          </w:tcPr>
          <w:p>
            <w:r>
              <w:rPr>
                <w:rFonts w:ascii="Calibri" w:hAnsi="Calibri"/>
                <w:sz w:val="22"/>
              </w:rPr>
              <w:t>Indirect</w:t>
            </w:r>
          </w:p>
        </w:tc>
      </w:tr>
      <w:tr>
        <w:tc>
          <w:tcPr>
            <w:tcW w:type="dxa" w:w="2160"/>
          </w:tcPr>
          <w:p>
            <w:r>
              <w:rPr>
                <w:rFonts w:ascii="Calibri" w:hAnsi="Calibri"/>
                <w:sz w:val="22"/>
              </w:rPr>
              <w:t>Net Investment Income</w:t>
            </w:r>
          </w:p>
        </w:tc>
        <w:tc>
          <w:tcPr>
            <w:tcW w:type="dxa" w:w="2160"/>
          </w:tcPr>
          <w:p>
            <w:r>
              <w:rPr>
                <w:rFonts w:ascii="Calibri" w:hAnsi="Calibri"/>
                <w:sz w:val="22"/>
              </w:rPr>
              <w:t>+22% YoY to $800M; portfolio yield 4.7% before tax; LP returns 7.6% annualized</w:t>
            </w:r>
          </w:p>
        </w:tc>
        <w:tc>
          <w:tcPr>
            <w:tcW w:type="dxa" w:w="2160"/>
          </w:tcPr>
          <w:p>
            <w:r>
              <w:rPr>
                <w:rFonts w:ascii="Calibri" w:hAnsi="Calibri"/>
                <w:b/>
                <w:color w:val="30A46C"/>
                <w:sz w:val="22"/>
              </w:rPr>
              <w:t>Positive: strong NII growth driven by alternatives and higher invested assets; ERIE's more conservative fixed-income portfolio should see similar (if smaller) tailwinds.</w:t>
            </w:r>
          </w:p>
        </w:tc>
        <w:tc>
          <w:tcPr>
            <w:tcW w:type="dxa" w:w="2160"/>
          </w:tcPr>
          <w:p>
            <w:r>
              <w:rPr>
                <w:rFonts w:ascii="Calibri" w:hAnsi="Calibri"/>
                <w:sz w:val="22"/>
              </w:rPr>
              <w:t>Indirect</w:t>
            </w:r>
          </w:p>
        </w:tc>
      </w:tr>
    </w:tbl>
    <w:p>
      <w:r>
        <w:rPr>
          <w:rFonts w:ascii="Calibri" w:hAnsi="Calibri"/>
          <w:b/>
          <w:color w:val="525866"/>
          <w:sz w:val="22"/>
        </w:rPr>
        <w:t xml:space="preserve">Caveat: </w:t>
      </w:r>
      <w:r>
        <w:rPr>
          <w:rFonts w:ascii="Calibri" w:hAnsi="Calibri"/>
          <w:color w:val="525866"/>
          <w:sz w:val="22"/>
        </w:rPr>
        <w:t>HIG is a large, diversified insurer with significant commercial lines (small, middle, and large business) and employee benefits segments. Its personal lines segment is smaller and operates through both agency and direct channels. The adverse reserve development in commercial auto and GL is specific to HIG's book and may not directly translate to ERIE's commercial lines, but the underlying drivers (social inflation, attorney involvement) are industry-wide.</w:t>
      </w:r>
    </w:p>
    <w:p>
      <w:pPr>
        <w:pStyle w:val="Heading3"/>
      </w:pPr>
      <w:r>
        <w:rPr>
          <w:rFonts w:ascii="Calibri" w:hAnsi="Calibri"/>
          <w:b/>
          <w:color w:val="3B4259"/>
          <w:sz w:val="24"/>
        </w:rPr>
        <w:t>8.4 The Progressive Corporation (PGR) — Personal Auto Bellwether; Competitive Pressure Signal</w:t>
      </w:r>
    </w:p>
    <w:p>
      <w:r>
        <w:rPr>
          <w:rFonts w:ascii="Calibri" w:hAnsi="Calibri"/>
          <w:b/>
          <w:color w:val="525866"/>
          <w:sz w:val="22"/>
        </w:rPr>
        <w:t xml:space="preserve">Reported: July 15, 2026 (Q2 2026, June monthly data). Relevance: </w:t>
      </w:r>
      <w:r>
        <w:rPr>
          <w:rFonts w:ascii="Calibri" w:hAnsi="Calibri"/>
          <w:color w:val="525866"/>
          <w:sz w:val="22"/>
        </w:rPr>
        <w:t>PGR is the dominant personal auto insurer (~18.6% market share) and the industry's pricing and growth barometer. Its Q2 2026 data provides the most current read on personal auto market dynamics, though its direct channel focus and scale differ from ERIE's agency model.</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Indicator</w:t>
            </w:r>
          </w:p>
        </w:tc>
        <w:tc>
          <w:tcPr>
            <w:tcW w:type="dxa" w:w="2160"/>
            <w:shd w:val="clear" w:color="auto" w:fill="3B4259"/>
          </w:tcPr>
          <w:p>
            <w:r>
              <w:rPr>
                <w:rFonts w:ascii="Calibri" w:hAnsi="Calibri"/>
                <w:b/>
                <w:color w:val="FFFFFF"/>
                <w:sz w:val="22"/>
              </w:rPr>
              <w:t>PGR Q2 2026 Result</w:t>
            </w:r>
          </w:p>
        </w:tc>
        <w:tc>
          <w:tcPr>
            <w:tcW w:type="dxa" w:w="2160"/>
            <w:shd w:val="clear" w:color="auto" w:fill="3B4259"/>
          </w:tcPr>
          <w:p>
            <w:r>
              <w:rPr>
                <w:rFonts w:ascii="Calibri" w:hAnsi="Calibri"/>
                <w:b/>
                <w:color w:val="FFFFFF"/>
                <w:sz w:val="22"/>
              </w:rPr>
              <w:t>ERIE Read-Through</w:t>
            </w:r>
          </w:p>
        </w:tc>
        <w:tc>
          <w:tcPr>
            <w:tcW w:type="dxa" w:w="2160"/>
            <w:shd w:val="clear" w:color="auto" w:fill="3B4259"/>
          </w:tcPr>
          <w:p>
            <w:r>
              <w:rPr>
                <w:rFonts w:ascii="Calibri" w:hAnsi="Calibri"/>
                <w:b/>
                <w:color w:val="FFFFFF"/>
                <w:sz w:val="22"/>
              </w:rPr>
              <w:t>Direct / Indirect</w:t>
            </w:r>
          </w:p>
        </w:tc>
      </w:tr>
      <w:tr>
        <w:tc>
          <w:tcPr>
            <w:tcW w:type="dxa" w:w="2160"/>
          </w:tcPr>
          <w:p>
            <w:r>
              <w:rPr>
                <w:rFonts w:ascii="Calibri" w:hAnsi="Calibri"/>
                <w:sz w:val="22"/>
              </w:rPr>
              <w:t>Agency Auto NPW Growth (June)</w:t>
            </w:r>
          </w:p>
        </w:tc>
        <w:tc>
          <w:tcPr>
            <w:tcW w:type="dxa" w:w="2160"/>
          </w:tcPr>
          <w:p>
            <w:r>
              <w:rPr>
                <w:rFonts w:ascii="Calibri" w:hAnsi="Calibri"/>
                <w:sz w:val="22"/>
              </w:rPr>
              <w:t>0% (flat); YTD +4%</w:t>
            </w:r>
          </w:p>
        </w:tc>
        <w:tc>
          <w:tcPr>
            <w:tcW w:type="dxa" w:w="2160"/>
          </w:tcPr>
          <w:p>
            <w:r>
              <w:rPr>
                <w:rFonts w:ascii="Calibri" w:hAnsi="Calibri"/>
                <w:b/>
                <w:color w:val="E5484D"/>
                <w:sz w:val="22"/>
              </w:rPr>
              <w:t>Negative read-through: flat agency auto NPW growth at PGR signals the agency channel is under competitive pressure. ERIE's DWP growth may remain subdued.</w:t>
            </w:r>
          </w:p>
        </w:tc>
        <w:tc>
          <w:tcPr>
            <w:tcW w:type="dxa" w:w="2160"/>
          </w:tcPr>
          <w:p>
            <w:r>
              <w:rPr>
                <w:rFonts w:ascii="Calibri" w:hAnsi="Calibri"/>
                <w:sz w:val="22"/>
              </w:rPr>
              <w:t>Direct</w:t>
            </w:r>
          </w:p>
        </w:tc>
      </w:tr>
      <w:tr>
        <w:tc>
          <w:tcPr>
            <w:tcW w:type="dxa" w:w="2160"/>
          </w:tcPr>
          <w:p>
            <w:r>
              <w:rPr>
                <w:rFonts w:ascii="Calibri" w:hAnsi="Calibri"/>
                <w:sz w:val="22"/>
              </w:rPr>
              <w:t>Total Personal Lines PIF Growth</w:t>
            </w:r>
          </w:p>
        </w:tc>
        <w:tc>
          <w:tcPr>
            <w:tcW w:type="dxa" w:w="2160"/>
          </w:tcPr>
          <w:p>
            <w:r>
              <w:rPr>
                <w:rFonts w:ascii="Calibri" w:hAnsi="Calibri"/>
                <w:sz w:val="22"/>
              </w:rPr>
              <w:t>+8% YoY to 38.9M policies</w:t>
            </w:r>
          </w:p>
        </w:tc>
        <w:tc>
          <w:tcPr>
            <w:tcW w:type="dxa" w:w="2160"/>
          </w:tcPr>
          <w:p>
            <w:r>
              <w:rPr>
                <w:rFonts w:ascii="Calibri" w:hAnsi="Calibri"/>
                <w:sz w:val="22"/>
              </w:rPr>
              <w:t>Mixed: PGR's strong PIF growth reflects market share gains, partly at the expense of carriers like ERIE that are prioritizing rate adequacy over volume.</w:t>
            </w:r>
          </w:p>
        </w:tc>
        <w:tc>
          <w:tcPr>
            <w:tcW w:type="dxa" w:w="2160"/>
          </w:tcPr>
          <w:p>
            <w:r>
              <w:rPr>
                <w:rFonts w:ascii="Calibri" w:hAnsi="Calibri"/>
                <w:sz w:val="22"/>
              </w:rPr>
              <w:t>Indirect</w:t>
            </w:r>
          </w:p>
        </w:tc>
      </w:tr>
      <w:tr>
        <w:tc>
          <w:tcPr>
            <w:tcW w:type="dxa" w:w="2160"/>
          </w:tcPr>
          <w:p>
            <w:r>
              <w:rPr>
                <w:rFonts w:ascii="Calibri" w:hAnsi="Calibri"/>
                <w:sz w:val="22"/>
              </w:rPr>
              <w:t>Combined Ratio (Q2 2026)</w:t>
            </w:r>
          </w:p>
        </w:tc>
        <w:tc>
          <w:tcPr>
            <w:tcW w:type="dxa" w:w="2160"/>
          </w:tcPr>
          <w:p>
            <w:r>
              <w:rPr>
                <w:rFonts w:ascii="Calibri" w:hAnsi="Calibri"/>
                <w:sz w:val="22"/>
              </w:rPr>
              <w:t>90.0 (up 3.4 pts from 86.6 in Q2 2025); includes favorable 11.7 pt one-time actuarial methodology change in property</w:t>
            </w:r>
          </w:p>
        </w:tc>
        <w:tc>
          <w:tcPr>
            <w:tcW w:type="dxa" w:w="2160"/>
          </w:tcPr>
          <w:p>
            <w:r>
              <w:rPr>
                <w:rFonts w:ascii="Calibri" w:hAnsi="Calibri"/>
                <w:sz w:val="22"/>
              </w:rPr>
              <w:t>Caution: the 11.7 pt one-time actuarial adjustment is specific to PGR's property IBNR methodology and is not a read-through for ERIE. Underlying combined ratio deterioration is a watch item.</w:t>
            </w:r>
          </w:p>
        </w:tc>
        <w:tc>
          <w:tcPr>
            <w:tcW w:type="dxa" w:w="2160"/>
          </w:tcPr>
          <w:p>
            <w:r>
              <w:rPr>
                <w:rFonts w:ascii="Calibri" w:hAnsi="Calibri"/>
                <w:sz w:val="22"/>
              </w:rPr>
              <w:t>Indirect</w:t>
            </w:r>
          </w:p>
        </w:tc>
      </w:tr>
      <w:tr>
        <w:tc>
          <w:tcPr>
            <w:tcW w:type="dxa" w:w="2160"/>
          </w:tcPr>
          <w:p>
            <w:r>
              <w:rPr>
                <w:rFonts w:ascii="Calibri" w:hAnsi="Calibri"/>
                <w:sz w:val="22"/>
              </w:rPr>
              <w:t>Property Catastrophe Loss Ratio (YTD)</w:t>
            </w:r>
          </w:p>
        </w:tc>
        <w:tc>
          <w:tcPr>
            <w:tcW w:type="dxa" w:w="2160"/>
          </w:tcPr>
          <w:p>
            <w:r>
              <w:rPr>
                <w:rFonts w:ascii="Calibri" w:hAnsi="Calibri"/>
                <w:sz w:val="22"/>
              </w:rPr>
              <w:t>13.0% YTD; June: 8.9%</w:t>
            </w:r>
          </w:p>
        </w:tc>
        <w:tc>
          <w:tcPr>
            <w:tcW w:type="dxa" w:w="2160"/>
          </w:tcPr>
          <w:p>
            <w:r>
              <w:rPr>
                <w:rFonts w:ascii="Calibri" w:hAnsi="Calibri"/>
                <w:b/>
                <w:color w:val="E5484D"/>
                <w:sz w:val="22"/>
              </w:rPr>
              <w:t>Negative: elevated property cat losses at PGR YTD signal a challenging cat environment for homeowners nationally. Watch for ERIE's Exchange property cat load.</w:t>
            </w:r>
          </w:p>
        </w:tc>
        <w:tc>
          <w:tcPr>
            <w:tcW w:type="dxa" w:w="2160"/>
          </w:tcPr>
          <w:p>
            <w:r>
              <w:rPr>
                <w:rFonts w:ascii="Calibri" w:hAnsi="Calibri"/>
                <w:sz w:val="22"/>
              </w:rPr>
              <w:t>Direct</w:t>
            </w:r>
          </w:p>
        </w:tc>
      </w:tr>
      <w:tr>
        <w:tc>
          <w:tcPr>
            <w:tcW w:type="dxa" w:w="2160"/>
          </w:tcPr>
          <w:p>
            <w:r>
              <w:rPr>
                <w:rFonts w:ascii="Calibri" w:hAnsi="Calibri"/>
                <w:sz w:val="22"/>
              </w:rPr>
              <w:t>Prior-Year Reserve Development</w:t>
            </w:r>
          </w:p>
        </w:tc>
        <w:tc>
          <w:tcPr>
            <w:tcW w:type="dxa" w:w="2160"/>
          </w:tcPr>
          <w:p>
            <w:r>
              <w:rPr>
                <w:rFonts w:ascii="Calibri" w:hAnsi="Calibri"/>
                <w:sz w:val="22"/>
              </w:rPr>
              <w:t>$1.0B favorable YTD; $56M favorable from prior accident years in June</w:t>
            </w:r>
          </w:p>
        </w:tc>
        <w:tc>
          <w:tcPr>
            <w:tcW w:type="dxa" w:w="2160"/>
          </w:tcPr>
          <w:p>
            <w:r>
              <w:rPr>
                <w:rFonts w:ascii="Calibri" w:hAnsi="Calibri"/>
                <w:b/>
                <w:color w:val="30A46C"/>
                <w:sz w:val="22"/>
              </w:rPr>
              <w:t>Positive: broad favorable prior-year development is a constructive industry signal.</w:t>
            </w:r>
          </w:p>
        </w:tc>
        <w:tc>
          <w:tcPr>
            <w:tcW w:type="dxa" w:w="2160"/>
          </w:tcPr>
          <w:p>
            <w:r>
              <w:rPr>
                <w:rFonts w:ascii="Calibri" w:hAnsi="Calibri"/>
                <w:sz w:val="22"/>
              </w:rPr>
              <w:t>Indirect</w:t>
            </w:r>
          </w:p>
        </w:tc>
      </w:tr>
    </w:tbl>
    <w:p>
      <w:r>
        <w:rPr>
          <w:rFonts w:ascii="Calibri" w:hAnsi="Calibri"/>
          <w:b/>
          <w:color w:val="525866"/>
          <w:sz w:val="22"/>
        </w:rPr>
        <w:t xml:space="preserve">Caveat: </w:t>
      </w:r>
      <w:r>
        <w:rPr>
          <w:rFonts w:ascii="Calibri" w:hAnsi="Calibri"/>
          <w:color w:val="525866"/>
          <w:sz w:val="22"/>
        </w:rPr>
        <w:t>PGR operates primarily through the direct channel (Direct auto NPW +5% in June vs. Agency 0%), which is structurally different from ERIE's exclusive independent agent model. PGR's record advertising spend and direct-to-consumer growth are a competitive threat to ERIE's agent relationships but do not directly translate to ERIE's underwriting results. The 11.7 pt one-time actuarial methodology change in property IBNR is specific to PGR and should be excluded from any read-through analysis.</w:t>
      </w:r>
    </w:p>
    <w:p>
      <w:pPr>
        <w:pStyle w:val="Heading3"/>
      </w:pPr>
      <w:r>
        <w:rPr>
          <w:rFonts w:ascii="Calibri" w:hAnsi="Calibri"/>
          <w:b/>
          <w:color w:val="3B4259"/>
          <w:sz w:val="24"/>
        </w:rPr>
        <w:t>8.5 Allstate (ALL) — Catastrophe Loss Benchmark; Competitive Pricing Signal</w:t>
      </w:r>
    </w:p>
    <w:p>
      <w:r>
        <w:rPr>
          <w:rFonts w:ascii="Calibri" w:hAnsi="Calibri"/>
          <w:b/>
          <w:color w:val="525866"/>
          <w:sz w:val="22"/>
        </w:rPr>
        <w:t xml:space="preserve">Reported: July 16, 2026 (Q2 2026 catastrophe loss estimate). Relevance: </w:t>
      </w:r>
      <w:r>
        <w:rPr>
          <w:rFonts w:ascii="Calibri" w:hAnsi="Calibri"/>
          <w:color w:val="525866"/>
          <w:sz w:val="22"/>
        </w:rPr>
        <w:t>ALL is the largest personal lines insurer by distribution breadth. Its Q2 2026 catastrophe loss disclosure is the most directly relevant data point for sizing the industry-wide cat environment ERIE faced in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Indicator</w:t>
            </w:r>
          </w:p>
        </w:tc>
        <w:tc>
          <w:tcPr>
            <w:tcW w:type="dxa" w:w="2160"/>
            <w:shd w:val="clear" w:color="auto" w:fill="3B4259"/>
          </w:tcPr>
          <w:p>
            <w:r>
              <w:rPr>
                <w:rFonts w:ascii="Calibri" w:hAnsi="Calibri"/>
                <w:b/>
                <w:color w:val="FFFFFF"/>
                <w:sz w:val="22"/>
              </w:rPr>
              <w:t>ALL Q2 2026 Result</w:t>
            </w:r>
          </w:p>
        </w:tc>
        <w:tc>
          <w:tcPr>
            <w:tcW w:type="dxa" w:w="2160"/>
            <w:shd w:val="clear" w:color="auto" w:fill="3B4259"/>
          </w:tcPr>
          <w:p>
            <w:r>
              <w:rPr>
                <w:rFonts w:ascii="Calibri" w:hAnsi="Calibri"/>
                <w:b/>
                <w:color w:val="FFFFFF"/>
                <w:sz w:val="22"/>
              </w:rPr>
              <w:t>ERIE Read-Through</w:t>
            </w:r>
          </w:p>
        </w:tc>
        <w:tc>
          <w:tcPr>
            <w:tcW w:type="dxa" w:w="2160"/>
            <w:shd w:val="clear" w:color="auto" w:fill="3B4259"/>
          </w:tcPr>
          <w:p>
            <w:r>
              <w:rPr>
                <w:rFonts w:ascii="Calibri" w:hAnsi="Calibri"/>
                <w:b/>
                <w:color w:val="FFFFFF"/>
                <w:sz w:val="22"/>
              </w:rPr>
              <w:t>Direct / Indirect</w:t>
            </w:r>
          </w:p>
        </w:tc>
      </w:tr>
      <w:tr>
        <w:tc>
          <w:tcPr>
            <w:tcW w:type="dxa" w:w="2160"/>
          </w:tcPr>
          <w:p>
            <w:r>
              <w:rPr>
                <w:rFonts w:ascii="Calibri" w:hAnsi="Calibri"/>
                <w:sz w:val="22"/>
              </w:rPr>
              <w:t>Q2 2026 Total Catastrophe Losses</w:t>
            </w:r>
          </w:p>
        </w:tc>
        <w:tc>
          <w:tcPr>
            <w:tcW w:type="dxa" w:w="2160"/>
          </w:tcPr>
          <w:p>
            <w:r>
              <w:rPr>
                <w:rFonts w:ascii="Calibri" w:hAnsi="Calibri"/>
                <w:sz w:val="22"/>
              </w:rPr>
              <w:t>$1.72B gross ($1.36B after-tax)</w:t>
            </w:r>
          </w:p>
        </w:tc>
        <w:tc>
          <w:tcPr>
            <w:tcW w:type="dxa" w:w="2160"/>
          </w:tcPr>
          <w:p>
            <w:r>
              <w:rPr>
                <w:rFonts w:ascii="Calibri" w:hAnsi="Calibri"/>
                <w:b/>
                <w:color w:val="E5484D"/>
                <w:sz w:val="22"/>
              </w:rPr>
              <w:t>Negative signal: $1.72B in Q2 cat losses at ALL confirms meaningful weather activity nationally in Q2 2026. ERIE's Midwest/Mid-Atlantic footprint is exposed to the same convective storm corridor.</w:t>
            </w:r>
          </w:p>
        </w:tc>
        <w:tc>
          <w:tcPr>
            <w:tcW w:type="dxa" w:w="2160"/>
          </w:tcPr>
          <w:p>
            <w:r>
              <w:rPr>
                <w:rFonts w:ascii="Calibri" w:hAnsi="Calibri"/>
                <w:sz w:val="22"/>
              </w:rPr>
              <w:t>Direct</w:t>
            </w:r>
          </w:p>
        </w:tc>
      </w:tr>
      <w:tr>
        <w:tc>
          <w:tcPr>
            <w:tcW w:type="dxa" w:w="2160"/>
          </w:tcPr>
          <w:p>
            <w:r>
              <w:rPr>
                <w:rFonts w:ascii="Calibri" w:hAnsi="Calibri"/>
                <w:sz w:val="22"/>
              </w:rPr>
              <w:t>June 2026 Catastrophe Losses</w:t>
            </w:r>
          </w:p>
        </w:tc>
        <w:tc>
          <w:tcPr>
            <w:tcW w:type="dxa" w:w="2160"/>
          </w:tcPr>
          <w:p>
            <w:r>
              <w:rPr>
                <w:rFonts w:ascii="Calibri" w:hAnsi="Calibri"/>
                <w:sz w:val="22"/>
              </w:rPr>
              <w:t>$563M gross ($445M after-tax)</w:t>
            </w:r>
          </w:p>
        </w:tc>
        <w:tc>
          <w:tcPr>
            <w:tcW w:type="dxa" w:w="2160"/>
          </w:tcPr>
          <w:p>
            <w:r>
              <w:rPr>
                <w:rFonts w:ascii="Calibri" w:hAnsi="Calibri"/>
                <w:b/>
                <w:color w:val="E5484D"/>
                <w:sz w:val="22"/>
              </w:rPr>
              <w:t>Negative: June was a particularly active month for cat losses at ALL. Watch for ERIE's June cat experience.</w:t>
            </w:r>
          </w:p>
        </w:tc>
        <w:tc>
          <w:tcPr>
            <w:tcW w:type="dxa" w:w="2160"/>
          </w:tcPr>
          <w:p>
            <w:r>
              <w:rPr>
                <w:rFonts w:ascii="Calibri" w:hAnsi="Calibri"/>
                <w:sz w:val="22"/>
              </w:rPr>
              <w:t>Direct</w:t>
            </w:r>
          </w:p>
        </w:tc>
      </w:tr>
      <w:tr>
        <w:tc>
          <w:tcPr>
            <w:tcW w:type="dxa" w:w="2160"/>
          </w:tcPr>
          <w:p>
            <w:r>
              <w:rPr>
                <w:rFonts w:ascii="Calibri" w:hAnsi="Calibri"/>
                <w:sz w:val="22"/>
              </w:rPr>
              <w:t>Pricing Posture</w:t>
            </w:r>
          </w:p>
        </w:tc>
        <w:tc>
          <w:tcPr>
            <w:tcW w:type="dxa" w:w="2160"/>
          </w:tcPr>
          <w:p>
            <w:r>
              <w:rPr>
                <w:rFonts w:ascii="Calibri" w:hAnsi="Calibri"/>
                <w:sz w:val="22"/>
              </w:rPr>
              <w:t>Shifted to net-neutral pricing in Q1 2026 (mix of increases and decreases across 39 states) to reaccelerate policy growth; record new business across all channels</w:t>
            </w:r>
          </w:p>
        </w:tc>
        <w:tc>
          <w:tcPr>
            <w:tcW w:type="dxa" w:w="2160"/>
          </w:tcPr>
          <w:p>
            <w:r>
              <w:rPr>
                <w:rFonts w:ascii="Calibri" w:hAnsi="Calibri"/>
                <w:b/>
                <w:color w:val="E5484D"/>
                <w:sz w:val="22"/>
              </w:rPr>
              <w:t>Negative competitive read-through: ALL's net-neutral pricing and record new business directly threaten ERIE's retention and new business flow through the independent agent channel.</w:t>
            </w:r>
          </w:p>
        </w:tc>
        <w:tc>
          <w:tcPr>
            <w:tcW w:type="dxa" w:w="2160"/>
          </w:tcPr>
          <w:p>
            <w:r>
              <w:rPr>
                <w:rFonts w:ascii="Calibri" w:hAnsi="Calibri"/>
                <w:sz w:val="22"/>
              </w:rPr>
              <w:t>Direct</w:t>
            </w:r>
          </w:p>
        </w:tc>
      </w:tr>
    </w:tbl>
    <w:p>
      <w:r>
        <w:rPr>
          <w:rFonts w:ascii="Calibri" w:hAnsi="Calibri"/>
          <w:b/>
          <w:color w:val="525866"/>
          <w:sz w:val="22"/>
        </w:rPr>
        <w:t xml:space="preserve">Caveat: </w:t>
      </w:r>
      <w:r>
        <w:rPr>
          <w:rFonts w:ascii="Calibri" w:hAnsi="Calibri"/>
          <w:color w:val="525866"/>
          <w:sz w:val="22"/>
        </w:rPr>
        <w:t>ALL is a national insurer with 212 million policies in force, far larger than ERIE's ~7 million. The geographic distribution of ALL's Q2 2026 cat losses is not broken out by state, so the specific overlap with ERIE's core states (PA, OH, IN, VA, WI) cannot be precisely assessed. However, the magnitude of ALL's cat losses confirms that Q2 2026 was a materially active cat quarter nationally, which is a relevant risk signal for ERIE.</w:t>
      </w:r>
    </w:p>
    <w:p>
      <w:pPr>
        <w:pStyle w:val="Heading3"/>
      </w:pPr>
      <w:r>
        <w:rPr>
          <w:rFonts w:ascii="Calibri" w:hAnsi="Calibri"/>
          <w:b/>
          <w:color w:val="3B4259"/>
          <w:sz w:val="24"/>
        </w:rPr>
        <w:t>8.6 Chubb (CB) — Commercial Lines Pricing &amp; Loss Cost Trends; Investment Income</w:t>
      </w:r>
    </w:p>
    <w:p>
      <w:r>
        <w:rPr>
          <w:rFonts w:ascii="Calibri" w:hAnsi="Calibri"/>
          <w:b/>
          <w:color w:val="525866"/>
          <w:sz w:val="22"/>
        </w:rPr>
        <w:t xml:space="preserve">Reported: July 21–22, 2026 (Q2 2026). Relevance: </w:t>
      </w:r>
      <w:r>
        <w:rPr>
          <w:rFonts w:ascii="Calibri" w:hAnsi="Calibri"/>
          <w:color w:val="525866"/>
          <w:sz w:val="22"/>
        </w:rPr>
        <w:t>CB is less directly relevant to ERIE's personal lines business (Chubb does not compete in standard personal auto or homeowners), but provides important read-throughs on commercial lines pricing, U.S. casualty loss cost trends, catastrophe losses, and investment income.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Indicator</w:t>
            </w:r>
          </w:p>
        </w:tc>
        <w:tc>
          <w:tcPr>
            <w:tcW w:type="dxa" w:w="2160"/>
            <w:shd w:val="clear" w:color="auto" w:fill="3B4259"/>
          </w:tcPr>
          <w:p>
            <w:r>
              <w:rPr>
                <w:rFonts w:ascii="Calibri" w:hAnsi="Calibri"/>
                <w:b/>
                <w:color w:val="FFFFFF"/>
                <w:sz w:val="22"/>
              </w:rPr>
              <w:t>CB Q2 2026 Result</w:t>
            </w:r>
          </w:p>
        </w:tc>
        <w:tc>
          <w:tcPr>
            <w:tcW w:type="dxa" w:w="2160"/>
            <w:shd w:val="clear" w:color="auto" w:fill="3B4259"/>
          </w:tcPr>
          <w:p>
            <w:r>
              <w:rPr>
                <w:rFonts w:ascii="Calibri" w:hAnsi="Calibri"/>
                <w:b/>
                <w:color w:val="FFFFFF"/>
                <w:sz w:val="22"/>
              </w:rPr>
              <w:t>ERIE Read-Through</w:t>
            </w:r>
          </w:p>
        </w:tc>
        <w:tc>
          <w:tcPr>
            <w:tcW w:type="dxa" w:w="2160"/>
            <w:shd w:val="clear" w:color="auto" w:fill="3B4259"/>
          </w:tcPr>
          <w:p>
            <w:r>
              <w:rPr>
                <w:rFonts w:ascii="Calibri" w:hAnsi="Calibri"/>
                <w:b/>
                <w:color w:val="FFFFFF"/>
                <w:sz w:val="22"/>
              </w:rPr>
              <w:t>Direct / Indirect</w:t>
            </w:r>
          </w:p>
        </w:tc>
      </w:tr>
      <w:tr>
        <w:tc>
          <w:tcPr>
            <w:tcW w:type="dxa" w:w="2160"/>
          </w:tcPr>
          <w:p>
            <w:r>
              <w:rPr>
                <w:rFonts w:ascii="Calibri" w:hAnsi="Calibri"/>
                <w:sz w:val="22"/>
              </w:rPr>
              <w:t>Small/Middle Market Commercial Pricing</w:t>
            </w:r>
          </w:p>
        </w:tc>
        <w:tc>
          <w:tcPr>
            <w:tcW w:type="dxa" w:w="2160"/>
          </w:tcPr>
          <w:p>
            <w:r>
              <w:rPr>
                <w:rFonts w:ascii="Calibri" w:hAnsi="Calibri"/>
                <w:sz w:val="22"/>
              </w:rPr>
              <w:t>Middle market &amp; small commercial premiums grew ~9%; P&amp;C lines +12%; small/middle market property pricing +2.3%</w:t>
            </w:r>
          </w:p>
        </w:tc>
        <w:tc>
          <w:tcPr>
            <w:tcW w:type="dxa" w:w="2160"/>
          </w:tcPr>
          <w:p>
            <w:r>
              <w:rPr>
                <w:rFonts w:ascii="Calibri" w:hAnsi="Calibri"/>
                <w:b/>
                <w:color w:val="30A46C"/>
                <w:sz w:val="22"/>
              </w:rPr>
              <w:t>Positive: small/middle commercial growth is a constructive read-through for ERIE's commercial lines segment.</w:t>
            </w:r>
          </w:p>
        </w:tc>
        <w:tc>
          <w:tcPr>
            <w:tcW w:type="dxa" w:w="2160"/>
          </w:tcPr>
          <w:p>
            <w:r>
              <w:rPr>
                <w:rFonts w:ascii="Calibri" w:hAnsi="Calibri"/>
                <w:sz w:val="22"/>
              </w:rPr>
              <w:t>Direct</w:t>
            </w:r>
          </w:p>
        </w:tc>
      </w:tr>
      <w:tr>
        <w:tc>
          <w:tcPr>
            <w:tcW w:type="dxa" w:w="2160"/>
          </w:tcPr>
          <w:p>
            <w:r>
              <w:rPr>
                <w:rFonts w:ascii="Calibri" w:hAnsi="Calibri"/>
                <w:sz w:val="22"/>
              </w:rPr>
              <w:t>U.S. Casualty Loss Costs</w:t>
            </w:r>
          </w:p>
        </w:tc>
        <w:tc>
          <w:tcPr>
            <w:tcW w:type="dxa" w:w="2160"/>
          </w:tcPr>
          <w:p>
            <w:r>
              <w:rPr>
                <w:rFonts w:ascii="Calibri" w:hAnsi="Calibri"/>
                <w:sz w:val="22"/>
              </w:rPr>
              <w:t>Primary casualty: +6–7% per year; excess: +9–12% per year; "zero evidence" loss costs have abated</w:t>
            </w:r>
          </w:p>
        </w:tc>
        <w:tc>
          <w:tcPr>
            <w:tcW w:type="dxa" w:w="2160"/>
          </w:tcPr>
          <w:p>
            <w:r>
              <w:rPr>
                <w:rFonts w:ascii="Calibri" w:hAnsi="Calibri"/>
                <w:b/>
                <w:color w:val="E5484D"/>
                <w:sz w:val="22"/>
              </w:rPr>
              <w:t>Negative watch: persistent casualty loss cost inflation is an industry-wide headwind for ERIE's commercial lines reserving and pricing adequacy.</w:t>
            </w:r>
          </w:p>
        </w:tc>
        <w:tc>
          <w:tcPr>
            <w:tcW w:type="dxa" w:w="2160"/>
          </w:tcPr>
          <w:p>
            <w:r>
              <w:rPr>
                <w:rFonts w:ascii="Calibri" w:hAnsi="Calibri"/>
                <w:sz w:val="22"/>
              </w:rPr>
              <w:t>Indirect</w:t>
            </w:r>
          </w:p>
        </w:tc>
      </w:tr>
      <w:tr>
        <w:tc>
          <w:tcPr>
            <w:tcW w:type="dxa" w:w="2160"/>
          </w:tcPr>
          <w:p>
            <w:r>
              <w:rPr>
                <w:rFonts w:ascii="Calibri" w:hAnsi="Calibri"/>
                <w:sz w:val="22"/>
              </w:rPr>
              <w:t>Soft Market Spreading to Casualty</w:t>
            </w:r>
          </w:p>
        </w:tc>
        <w:tc>
          <w:tcPr>
            <w:tcW w:type="dxa" w:w="2160"/>
          </w:tcPr>
          <w:p>
            <w:r>
              <w:rPr>
                <w:rFonts w:ascii="Calibri" w:hAnsi="Calibri"/>
                <w:sz w:val="22"/>
              </w:rPr>
              <w:t>"Soft market conditions have begun to spread beyond property to more casualty lines"; pricing in certain casualty areas "failing to keep pace with loss costs"</w:t>
            </w:r>
          </w:p>
        </w:tc>
        <w:tc>
          <w:tcPr>
            <w:tcW w:type="dxa" w:w="2160"/>
          </w:tcPr>
          <w:p>
            <w:r>
              <w:rPr>
                <w:rFonts w:ascii="Calibri" w:hAnsi="Calibri"/>
                <w:b/>
                <w:color w:val="E5484D"/>
                <w:sz w:val="22"/>
              </w:rPr>
              <w:t>Negative watch: if casualty pricing is softening while loss costs remain elevated, ERIE's commercial casualty book faces margin pressure.</w:t>
            </w:r>
          </w:p>
        </w:tc>
        <w:tc>
          <w:tcPr>
            <w:tcW w:type="dxa" w:w="2160"/>
          </w:tcPr>
          <w:p>
            <w:r>
              <w:rPr>
                <w:rFonts w:ascii="Calibri" w:hAnsi="Calibri"/>
                <w:sz w:val="22"/>
              </w:rPr>
              <w:t>Indirect</w:t>
            </w:r>
          </w:p>
        </w:tc>
      </w:tr>
      <w:tr>
        <w:tc>
          <w:tcPr>
            <w:tcW w:type="dxa" w:w="2160"/>
          </w:tcPr>
          <w:p>
            <w:r>
              <w:rPr>
                <w:rFonts w:ascii="Calibri" w:hAnsi="Calibri"/>
                <w:sz w:val="22"/>
              </w:rPr>
              <w:t>Catastrophe Losses</w:t>
            </w:r>
          </w:p>
        </w:tc>
        <w:tc>
          <w:tcPr>
            <w:tcW w:type="dxa" w:w="2160"/>
          </w:tcPr>
          <w:p>
            <w:r>
              <w:rPr>
                <w:rFonts w:ascii="Calibri" w:hAnsi="Calibri"/>
                <w:sz w:val="22"/>
              </w:rPr>
              <w:t>$475M pre-tax; principally from weather-related events in the U.S.</w:t>
            </w:r>
          </w:p>
        </w:tc>
        <w:tc>
          <w:tcPr>
            <w:tcW w:type="dxa" w:w="2160"/>
          </w:tcPr>
          <w:p>
            <w:r>
              <w:rPr>
                <w:rFonts w:ascii="Calibri" w:hAnsi="Calibri"/>
                <w:b/>
                <w:color w:val="E5484D"/>
                <w:sz w:val="22"/>
              </w:rPr>
              <w:t>Negative: confirms meaningful U.S. weather activity in Q2 2026; consistent with ALL's $1.72B and TRV's $400M+ in cat losses.</w:t>
            </w:r>
          </w:p>
        </w:tc>
        <w:tc>
          <w:tcPr>
            <w:tcW w:type="dxa" w:w="2160"/>
          </w:tcPr>
          <w:p>
            <w:r>
              <w:rPr>
                <w:rFonts w:ascii="Calibri" w:hAnsi="Calibri"/>
                <w:sz w:val="22"/>
              </w:rPr>
              <w:t>Indirect</w:t>
            </w:r>
          </w:p>
        </w:tc>
      </w:tr>
      <w:tr>
        <w:tc>
          <w:tcPr>
            <w:tcW w:type="dxa" w:w="2160"/>
          </w:tcPr>
          <w:p>
            <w:r>
              <w:rPr>
                <w:rFonts w:ascii="Calibri" w:hAnsi="Calibri"/>
                <w:sz w:val="22"/>
              </w:rPr>
              <w:t>Prior-Year Reserve Development (Active Companies)</w:t>
            </w:r>
          </w:p>
        </w:tc>
        <w:tc>
          <w:tcPr>
            <w:tcW w:type="dxa" w:w="2160"/>
          </w:tcPr>
          <w:p>
            <w:r>
              <w:rPr>
                <w:rFonts w:ascii="Calibri" w:hAnsi="Calibri"/>
                <w:sz w:val="22"/>
              </w:rPr>
              <w:t>$441M favorable; 89% short-tail, 11% long-tail; paid-to-incurred ratio 90%</w:t>
            </w:r>
          </w:p>
        </w:tc>
        <w:tc>
          <w:tcPr>
            <w:tcW w:type="dxa" w:w="2160"/>
          </w:tcPr>
          <w:p>
            <w:r>
              <w:rPr>
                <w:rFonts w:ascii="Calibri" w:hAnsi="Calibri"/>
                <w:b/>
                <w:color w:val="30A46C"/>
                <w:sz w:val="22"/>
              </w:rPr>
              <w:t>Positive: strong short-tail reserve adequacy is a constructive read-through for ERIE's property lines.</w:t>
            </w:r>
          </w:p>
        </w:tc>
        <w:tc>
          <w:tcPr>
            <w:tcW w:type="dxa" w:w="2160"/>
          </w:tcPr>
          <w:p>
            <w:r>
              <w:rPr>
                <w:rFonts w:ascii="Calibri" w:hAnsi="Calibri"/>
                <w:sz w:val="22"/>
              </w:rPr>
              <w:t>Indirect</w:t>
            </w:r>
          </w:p>
        </w:tc>
      </w:tr>
      <w:tr>
        <w:tc>
          <w:tcPr>
            <w:tcW w:type="dxa" w:w="2160"/>
          </w:tcPr>
          <w:p>
            <w:r>
              <w:rPr>
                <w:rFonts w:ascii="Calibri" w:hAnsi="Calibri"/>
                <w:sz w:val="22"/>
              </w:rPr>
              <w:t>Net Investment Income</w:t>
            </w:r>
          </w:p>
        </w:tc>
        <w:tc>
          <w:tcPr>
            <w:tcW w:type="dxa" w:w="2160"/>
          </w:tcPr>
          <w:p>
            <w:r>
              <w:rPr>
                <w:rFonts w:ascii="Calibri" w:hAnsi="Calibri"/>
                <w:sz w:val="22"/>
              </w:rPr>
              <w:t>Record $1.88B, +11% YoY; fixed income yield 5.1%; new money rate 5.5% (90 bps above embedded yield)</w:t>
            </w:r>
          </w:p>
        </w:tc>
        <w:tc>
          <w:tcPr>
            <w:tcW w:type="dxa" w:w="2160"/>
          </w:tcPr>
          <w:p>
            <w:r>
              <w:rPr>
                <w:rFonts w:ascii="Calibri" w:hAnsi="Calibri"/>
                <w:b/>
                <w:color w:val="30A46C"/>
                <w:sz w:val="22"/>
              </w:rPr>
              <w:t>Positive: the fixed-income reinvestment tailwind is intact across the industry; ERIE's investment income should continue to grow.</w:t>
            </w:r>
          </w:p>
        </w:tc>
        <w:tc>
          <w:tcPr>
            <w:tcW w:type="dxa" w:w="2160"/>
          </w:tcPr>
          <w:p>
            <w:r>
              <w:rPr>
                <w:rFonts w:ascii="Calibri" w:hAnsi="Calibri"/>
                <w:sz w:val="22"/>
              </w:rPr>
              <w:t>Indirect</w:t>
            </w:r>
          </w:p>
        </w:tc>
      </w:tr>
    </w:tbl>
    <w:p>
      <w:r>
        <w:rPr>
          <w:rFonts w:ascii="Calibri" w:hAnsi="Calibri"/>
          <w:b/>
          <w:color w:val="525866"/>
          <w:sz w:val="22"/>
        </w:rPr>
        <w:t xml:space="preserve">Caveat: </w:t>
      </w:r>
      <w:r>
        <w:rPr>
          <w:rFonts w:ascii="Calibri" w:hAnsi="Calibri"/>
          <w:color w:val="525866"/>
          <w:sz w:val="22"/>
        </w:rPr>
        <w:t>Chubb does not compete in standard personal auto or homeowners insurance (it focuses on high-net-worth personal lines and large commercial). Its personal lines commentary is not a read-through for ERIE's standard personal lines book. The commercial lines read-throughs (casualty loss costs, soft market spreading) are relevant but apply to Chubb's larger, more complex commercial book, which differs from ERIE's small/middle commercial focus.</w:t>
      </w:r>
    </w:p>
    <w:p>
      <w:pPr>
        <w:pStyle w:val="Heading3"/>
      </w:pPr>
      <w:r>
        <w:rPr>
          <w:rFonts w:ascii="Calibri" w:hAnsi="Calibri"/>
          <w:b/>
          <w:color w:val="3B4259"/>
          <w:sz w:val="24"/>
        </w:rPr>
        <w:t>8.7 Peer Read-Through Summary Scorecard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Indicator</w:t>
            </w:r>
          </w:p>
        </w:tc>
        <w:tc>
          <w:tcPr>
            <w:tcW w:type="dxa" w:w="2160"/>
            <w:shd w:val="clear" w:color="auto" w:fill="3B4259"/>
          </w:tcPr>
          <w:p>
            <w:r>
              <w:rPr>
                <w:rFonts w:ascii="Calibri" w:hAnsi="Calibri"/>
                <w:b/>
                <w:color w:val="FFFFFF"/>
                <w:sz w:val="22"/>
              </w:rPr>
              <w:t>Industry Signal (Q2 2026)</w:t>
            </w:r>
          </w:p>
        </w:tc>
        <w:tc>
          <w:tcPr>
            <w:tcW w:type="dxa" w:w="2160"/>
            <w:shd w:val="clear" w:color="auto" w:fill="3B4259"/>
          </w:tcPr>
          <w:p>
            <w:r>
              <w:rPr>
                <w:rFonts w:ascii="Calibri" w:hAnsi="Calibri"/>
                <w:b/>
                <w:color w:val="FFFFFF"/>
                <w:sz w:val="22"/>
              </w:rPr>
              <w:t>ERIE Implication</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Personal Auto Pricing</w:t>
            </w:r>
          </w:p>
        </w:tc>
        <w:tc>
          <w:tcPr>
            <w:tcW w:type="dxa" w:w="2160"/>
          </w:tcPr>
          <w:p>
            <w:r>
              <w:rPr>
                <w:rFonts w:ascii="Calibri" w:hAnsi="Calibri"/>
                <w:sz w:val="22"/>
              </w:rPr>
              <w:t>THG +7.1%, HIG +5.5%, TRV flat; market normalizing</w:t>
            </w:r>
          </w:p>
        </w:tc>
        <w:tc>
          <w:tcPr>
            <w:tcW w:type="dxa" w:w="2160"/>
          </w:tcPr>
          <w:p>
            <w:r>
              <w:rPr>
                <w:rFonts w:ascii="Calibri" w:hAnsi="Calibri"/>
                <w:sz w:val="22"/>
              </w:rPr>
              <w:t>DWP growth likely remains subdued; avg premium/policy growth decelerating</w:t>
            </w:r>
          </w:p>
        </w:tc>
        <w:tc>
          <w:tcPr>
            <w:tcW w:type="dxa" w:w="2160"/>
          </w:tcPr>
          <w:p>
            <w:r>
              <w:rPr>
                <w:rFonts w:ascii="Calibri" w:hAnsi="Calibri"/>
                <w:b/>
                <w:sz w:val="22"/>
              </w:rPr>
              <w:t>Mixed</w:t>
            </w:r>
          </w:p>
        </w:tc>
      </w:tr>
      <w:tr>
        <w:tc>
          <w:tcPr>
            <w:tcW w:type="dxa" w:w="2160"/>
          </w:tcPr>
          <w:p>
            <w:r>
              <w:rPr>
                <w:rFonts w:ascii="Calibri" w:hAnsi="Calibri"/>
                <w:sz w:val="22"/>
              </w:rPr>
              <w:t>Homeowners Pricing</w:t>
            </w:r>
          </w:p>
        </w:tc>
        <w:tc>
          <w:tcPr>
            <w:tcW w:type="dxa" w:w="2160"/>
          </w:tcPr>
          <w:p>
            <w:r>
              <w:rPr>
                <w:rFonts w:ascii="Calibri" w:hAnsi="Calibri"/>
                <w:sz w:val="22"/>
              </w:rPr>
              <w:t>THG +10.9%, HIG +10.4%, TRV +6.6%; still above loss cost trends</w:t>
            </w:r>
          </w:p>
        </w:tc>
        <w:tc>
          <w:tcPr>
            <w:tcW w:type="dxa" w:w="2160"/>
          </w:tcPr>
          <w:p>
            <w:r>
              <w:rPr>
                <w:rFonts w:ascii="Calibri" w:hAnsi="Calibri"/>
                <w:sz w:val="22"/>
              </w:rPr>
              <w:t>Positive for Exchange HO profitability; rate adequacy intact</w:t>
            </w:r>
          </w:p>
        </w:tc>
        <w:tc>
          <w:tcPr>
            <w:tcW w:type="dxa" w:w="2160"/>
          </w:tcPr>
          <w:p>
            <w:r>
              <w:rPr>
                <w:rFonts w:ascii="Calibri" w:hAnsi="Calibri"/>
                <w:b/>
                <w:color w:val="30A46C"/>
                <w:sz w:val="22"/>
              </w:rPr>
              <w:t>Positive</w:t>
            </w:r>
          </w:p>
        </w:tc>
      </w:tr>
      <w:tr>
        <w:tc>
          <w:tcPr>
            <w:tcW w:type="dxa" w:w="2160"/>
          </w:tcPr>
          <w:p>
            <w:r>
              <w:rPr>
                <w:rFonts w:ascii="Calibri" w:hAnsi="Calibri"/>
                <w:sz w:val="22"/>
              </w:rPr>
              <w:t>Personal Auto Frequency/Severity</w:t>
            </w:r>
          </w:p>
        </w:tc>
        <w:tc>
          <w:tcPr>
            <w:tcW w:type="dxa" w:w="2160"/>
          </w:tcPr>
          <w:p>
            <w:r>
              <w:rPr>
                <w:rFonts w:ascii="Calibri" w:hAnsi="Calibri"/>
                <w:sz w:val="22"/>
              </w:rPr>
              <w:t>Favorable at THG (collision), TRV (frequency + severity); vehicle technology cited</w:t>
            </w:r>
          </w:p>
        </w:tc>
        <w:tc>
          <w:tcPr>
            <w:tcW w:type="dxa" w:w="2160"/>
          </w:tcPr>
          <w:p>
            <w:r>
              <w:rPr>
                <w:rFonts w:ascii="Calibri" w:hAnsi="Calibri"/>
                <w:sz w:val="22"/>
              </w:rPr>
              <w:t>Positive for Exchange auto combined ratio</w:t>
            </w:r>
          </w:p>
        </w:tc>
        <w:tc>
          <w:tcPr>
            <w:tcW w:type="dxa" w:w="2160"/>
          </w:tcPr>
          <w:p>
            <w:r>
              <w:rPr>
                <w:rFonts w:ascii="Calibri" w:hAnsi="Calibri"/>
                <w:b/>
                <w:color w:val="30A46C"/>
                <w:sz w:val="22"/>
              </w:rPr>
              <w:t>Positive</w:t>
            </w:r>
          </w:p>
        </w:tc>
      </w:tr>
      <w:tr>
        <w:tc>
          <w:tcPr>
            <w:tcW w:type="dxa" w:w="2160"/>
          </w:tcPr>
          <w:p>
            <w:r>
              <w:rPr>
                <w:rFonts w:ascii="Calibri" w:hAnsi="Calibri"/>
                <w:sz w:val="22"/>
              </w:rPr>
              <w:t>Homeowners Attritional Losses</w:t>
            </w:r>
          </w:p>
        </w:tc>
        <w:tc>
          <w:tcPr>
            <w:tcW w:type="dxa" w:w="2160"/>
          </w:tcPr>
          <w:p>
            <w:r>
              <w:rPr>
                <w:rFonts w:ascii="Calibri" w:hAnsi="Calibri"/>
                <w:sz w:val="22"/>
              </w:rPr>
              <w:t>Very favorable at THG (deductible changes, lower large losses); TRV HO combined ratio 76.7%</w:t>
            </w:r>
          </w:p>
        </w:tc>
        <w:tc>
          <w:tcPr>
            <w:tcW w:type="dxa" w:w="2160"/>
          </w:tcPr>
          <w:p>
            <w:r>
              <w:rPr>
                <w:rFonts w:ascii="Calibri" w:hAnsi="Calibri"/>
                <w:sz w:val="22"/>
              </w:rPr>
              <w:t>Positive for Exchange HO profitability absent major cat events</w:t>
            </w:r>
          </w:p>
        </w:tc>
        <w:tc>
          <w:tcPr>
            <w:tcW w:type="dxa" w:w="2160"/>
          </w:tcPr>
          <w:p>
            <w:r>
              <w:rPr>
                <w:rFonts w:ascii="Calibri" w:hAnsi="Calibri"/>
                <w:b/>
                <w:color w:val="30A46C"/>
                <w:sz w:val="22"/>
              </w:rPr>
              <w:t>Positive</w:t>
            </w:r>
          </w:p>
        </w:tc>
      </w:tr>
      <w:tr>
        <w:tc>
          <w:tcPr>
            <w:tcW w:type="dxa" w:w="2160"/>
          </w:tcPr>
          <w:p>
            <w:r>
              <w:rPr>
                <w:rFonts w:ascii="Calibri" w:hAnsi="Calibri"/>
                <w:sz w:val="22"/>
              </w:rPr>
              <w:t>Catastrophe Losses</w:t>
            </w:r>
          </w:p>
        </w:tc>
        <w:tc>
          <w:tcPr>
            <w:tcW w:type="dxa" w:w="2160"/>
          </w:tcPr>
          <w:p>
            <w:r>
              <w:rPr>
                <w:rFonts w:ascii="Calibri" w:hAnsi="Calibri"/>
                <w:sz w:val="22"/>
              </w:rPr>
              <w:t>THG below modeled (5.7 pts); ALL $1.72B; CB $475M; TRV $400M+; PGR property cat 13% YTD</w:t>
            </w:r>
          </w:p>
        </w:tc>
        <w:tc>
          <w:tcPr>
            <w:tcW w:type="dxa" w:w="2160"/>
          </w:tcPr>
          <w:p>
            <w:r>
              <w:rPr>
                <w:rFonts w:ascii="Calibri" w:hAnsi="Calibri"/>
                <w:sz w:val="22"/>
              </w:rPr>
              <w:t>Mixed: THG (most geographically relevant) below expectations; but national cat activity was elevated. ERIE's specific geographic experience is the key unknown.</w:t>
            </w:r>
          </w:p>
        </w:tc>
        <w:tc>
          <w:tcPr>
            <w:tcW w:type="dxa" w:w="2160"/>
          </w:tcPr>
          <w:p>
            <w:r>
              <w:rPr>
                <w:rFonts w:ascii="Calibri" w:hAnsi="Calibri"/>
                <w:b/>
                <w:sz w:val="22"/>
              </w:rPr>
              <w:t>Mixed</w:t>
            </w:r>
          </w:p>
        </w:tc>
      </w:tr>
      <w:tr>
        <w:tc>
          <w:tcPr>
            <w:tcW w:type="dxa" w:w="2160"/>
          </w:tcPr>
          <w:p>
            <w:r>
              <w:rPr>
                <w:rFonts w:ascii="Calibri" w:hAnsi="Calibri"/>
                <w:sz w:val="22"/>
              </w:rPr>
              <w:t>Prior-Year Reserve Development</w:t>
            </w:r>
          </w:p>
        </w:tc>
        <w:tc>
          <w:tcPr>
            <w:tcW w:type="dxa" w:w="2160"/>
          </w:tcPr>
          <w:p>
            <w:r>
              <w:rPr>
                <w:rFonts w:ascii="Calibri" w:hAnsi="Calibri"/>
                <w:sz w:val="22"/>
              </w:rPr>
              <w:t>Broadly favorable at TRV ($578M), CB ($441M), THG ($21.5M), PGR ($1.0B YTD); HIG adverse in commercial auto/GL</w:t>
            </w:r>
          </w:p>
        </w:tc>
        <w:tc>
          <w:tcPr>
            <w:tcW w:type="dxa" w:w="2160"/>
          </w:tcPr>
          <w:p>
            <w:r>
              <w:rPr>
                <w:rFonts w:ascii="Calibri" w:hAnsi="Calibri"/>
                <w:sz w:val="22"/>
              </w:rPr>
              <w:t>Positive for personal lines; watch for any commercial lines adverse development at ERIE</w:t>
            </w:r>
          </w:p>
        </w:tc>
        <w:tc>
          <w:tcPr>
            <w:tcW w:type="dxa" w:w="2160"/>
          </w:tcPr>
          <w:p>
            <w:r>
              <w:rPr>
                <w:rFonts w:ascii="Calibri" w:hAnsi="Calibri"/>
                <w:b/>
                <w:color w:val="30A46C"/>
                <w:sz w:val="22"/>
              </w:rPr>
              <w:t>Positive</w:t>
            </w:r>
          </w:p>
        </w:tc>
      </w:tr>
      <w:tr>
        <w:tc>
          <w:tcPr>
            <w:tcW w:type="dxa" w:w="2160"/>
          </w:tcPr>
          <w:p>
            <w:r>
              <w:rPr>
                <w:rFonts w:ascii="Calibri" w:hAnsi="Calibri"/>
                <w:sz w:val="22"/>
              </w:rPr>
              <w:t>Investment Income</w:t>
            </w:r>
          </w:p>
        </w:tc>
        <w:tc>
          <w:tcPr>
            <w:tcW w:type="dxa" w:w="2160"/>
          </w:tcPr>
          <w:p>
            <w:r>
              <w:rPr>
                <w:rFonts w:ascii="Calibri" w:hAnsi="Calibri"/>
                <w:sz w:val="22"/>
              </w:rPr>
              <w:t>THG +13.4%, TRV +14%, HIG +22%, CB +11%; reinvestment tailwind intact</w:t>
            </w:r>
          </w:p>
        </w:tc>
        <w:tc>
          <w:tcPr>
            <w:tcW w:type="dxa" w:w="2160"/>
          </w:tcPr>
          <w:p>
            <w:r>
              <w:rPr>
                <w:rFonts w:ascii="Calibri" w:hAnsi="Calibri"/>
                <w:sz w:val="22"/>
              </w:rPr>
              <w:t>Positive: ERIE's NII should continue growing at double-digit YoY rate</w:t>
            </w:r>
          </w:p>
        </w:tc>
        <w:tc>
          <w:tcPr>
            <w:tcW w:type="dxa" w:w="2160"/>
          </w:tcPr>
          <w:p>
            <w:r>
              <w:rPr>
                <w:rFonts w:ascii="Calibri" w:hAnsi="Calibri"/>
                <w:b/>
                <w:color w:val="30A46C"/>
                <w:sz w:val="22"/>
              </w:rPr>
              <w:t>Positive</w:t>
            </w:r>
          </w:p>
        </w:tc>
      </w:tr>
      <w:tr>
        <w:tc>
          <w:tcPr>
            <w:tcW w:type="dxa" w:w="2160"/>
          </w:tcPr>
          <w:p>
            <w:r>
              <w:rPr>
                <w:rFonts w:ascii="Calibri" w:hAnsi="Calibri"/>
                <w:sz w:val="22"/>
              </w:rPr>
              <w:t>Competitive Environment (Agency Channel)</w:t>
            </w:r>
          </w:p>
        </w:tc>
        <w:tc>
          <w:tcPr>
            <w:tcW w:type="dxa" w:w="2160"/>
          </w:tcPr>
          <w:p>
            <w:r>
              <w:rPr>
                <w:rFonts w:ascii="Calibri" w:hAnsi="Calibri"/>
                <w:sz w:val="22"/>
              </w:rPr>
              <w:t>HIG: competition "elevated" in agency; ALL: net-neutral pricing, record new business; PGR: agency auto NPW flat</w:t>
            </w:r>
          </w:p>
        </w:tc>
        <w:tc>
          <w:tcPr>
            <w:tcW w:type="dxa" w:w="2160"/>
          </w:tcPr>
          <w:p>
            <w:r>
              <w:rPr>
                <w:rFonts w:ascii="Calibri" w:hAnsi="Calibri"/>
                <w:sz w:val="22"/>
              </w:rPr>
              <w:t>Negative: retention and new business remain under pressure for ERIE's agent channel</w:t>
            </w:r>
          </w:p>
        </w:tc>
        <w:tc>
          <w:tcPr>
            <w:tcW w:type="dxa" w:w="2160"/>
          </w:tcPr>
          <w:p>
            <w:r>
              <w:rPr>
                <w:rFonts w:ascii="Calibri" w:hAnsi="Calibri"/>
                <w:b/>
                <w:color w:val="E5484D"/>
                <w:sz w:val="22"/>
              </w:rPr>
              <w:t>Negative</w:t>
            </w:r>
          </w:p>
        </w:tc>
      </w:tr>
      <w:tr>
        <w:tc>
          <w:tcPr>
            <w:tcW w:type="dxa" w:w="2160"/>
          </w:tcPr>
          <w:p>
            <w:r>
              <w:rPr>
                <w:rFonts w:ascii="Calibri" w:hAnsi="Calibri"/>
                <w:sz w:val="22"/>
              </w:rPr>
              <w:t>Casualty Loss Costs / Social Inflation</w:t>
            </w:r>
          </w:p>
        </w:tc>
        <w:tc>
          <w:tcPr>
            <w:tcW w:type="dxa" w:w="2160"/>
          </w:tcPr>
          <w:p>
            <w:r>
              <w:rPr>
                <w:rFonts w:ascii="Calibri" w:hAnsi="Calibri"/>
                <w:sz w:val="22"/>
              </w:rPr>
              <w:t>CB: primary casualty +6–7%/yr; HIG: adverse commercial auto/GL development; THG: increased liability picks</w:t>
            </w:r>
          </w:p>
        </w:tc>
        <w:tc>
          <w:tcPr>
            <w:tcW w:type="dxa" w:w="2160"/>
          </w:tcPr>
          <w:p>
            <w:r>
              <w:rPr>
                <w:rFonts w:ascii="Calibri" w:hAnsi="Calibri"/>
                <w:sz w:val="22"/>
              </w:rPr>
              <w:t>Watch: ERIE's commercial lines casualty reserves may face similar pressures</w:t>
            </w:r>
          </w:p>
        </w:tc>
        <w:tc>
          <w:tcPr>
            <w:tcW w:type="dxa" w:w="2160"/>
          </w:tcPr>
          <w:p>
            <w:r>
              <w:rPr>
                <w:rFonts w:ascii="Calibri" w:hAnsi="Calibri"/>
                <w:b/>
                <w:sz w:val="22"/>
              </w:rPr>
              <w:t>Watch</w:t>
            </w:r>
          </w:p>
        </w:tc>
      </w:tr>
    </w:tbl>
    <w:p>
      <w:pPr>
        <w:pStyle w:val="Heading2"/>
      </w:pPr>
      <w:r>
        <w:rPr>
          <w:rFonts w:ascii="Calibri" w:hAnsi="Calibri"/>
          <w:b/>
          <w:color w:val="3B4259"/>
          <w:sz w:val="28"/>
        </w:rPr>
        <w:t>9. Investor Conclusion</w:t>
      </w:r>
    </w:p>
    <w:p>
      <w:r>
        <w:rPr>
          <w:rFonts w:ascii="Calibri" w:hAnsi="Calibri"/>
          <w:color w:val="525866"/>
          <w:sz w:val="22"/>
        </w:rPr>
        <w:t>The peer read-through picture heading into ERIE's Q2 2026 print is broadly constructive on underwriting fundamentals — favorable auto frequency, strong homeowners pricing, and a below-expectation cat load at the most geographically comparable peer (THG) — but the competitive environment in the agency channel remains a headwind for DWP growth and policy count stabilization. The single most important variable is whether ERIE's Midwest/Mid-Atlantic cat experience in Q2 2026 was benign (consistent with THG's below-modeled result) or elevated (consistent with ALL's $1.72B national cat losses). A clean combined ratio print near or below 99% combined with any sequential stabilization in policies in force would likely be received positively given the stock's 30% 12-month decline. Conversely, another miss driven by elevated cat losses or continued DWP deceleration below 3% would extend the de-rating. The investment income tailwind (+13–22% YoY at peers) is a reliable earnings contributor that should provide a partial offset regardless of underwriting outcomes. The dual leadership transition (CEO Nicastro retiring year-end 2026, new Chairman Hirt Hagen) remains the medium-term execution risk that the market will continue to monitor.</w:t>
      </w:r>
    </w:p>
    <w:p>
      <w:r>
        <w:rPr>
          <w:rFonts w:ascii="Calibri" w:hAnsi="Calibri"/>
          <w:b/>
          <w:color w:val="525866"/>
          <w:sz w:val="22"/>
        </w:rPr>
        <w:t>Key Questions for the Q2 2026 Pre-Recorded Webcast (July 31, 2026):</w:t>
      </w:r>
    </w:p>
    <w:p>
      <w:pPr>
        <w:pStyle w:val="ListNumber"/>
        <w:ind w:left="360" w:hanging="360"/>
      </w:pPr>
      <w:r>
        <w:rPr>
          <w:rFonts w:ascii="Calibri" w:hAnsi="Calibri"/>
          <w:b/>
          <w:color w:val="525866"/>
          <w:sz w:val="22"/>
        </w:rPr>
        <w:t xml:space="preserve">Exchange combined ratio: </w:t>
      </w:r>
      <w:r>
        <w:rPr>
          <w:rFonts w:ascii="Calibri" w:hAnsi="Calibri"/>
          <w:color w:val="525866"/>
          <w:sz w:val="22"/>
        </w:rPr>
        <w:t>Did Q2 2026 cat losses stay near or below the modeled ~5–7 pt load, or did Midwest convective storm activity push the combined ratio above 100%?</w:t>
      </w:r>
    </w:p>
    <w:p>
      <w:pPr>
        <w:pStyle w:val="ListNumber"/>
        <w:ind w:left="360" w:hanging="360"/>
      </w:pPr>
      <w:r>
        <w:rPr>
          <w:rFonts w:ascii="Calibri" w:hAnsi="Calibri"/>
          <w:b/>
          <w:color w:val="525866"/>
          <w:sz w:val="22"/>
        </w:rPr>
        <w:t xml:space="preserve">DWP growth trajectory: </w:t>
      </w:r>
      <w:r>
        <w:rPr>
          <w:rFonts w:ascii="Calibri" w:hAnsi="Calibri"/>
          <w:color w:val="525866"/>
          <w:sz w:val="22"/>
        </w:rPr>
        <w:t>Did growth stabilize sequentially from Q1's 3.6%, or did competitive pressure from ALL/PGR further compress the rate?</w:t>
      </w:r>
    </w:p>
    <w:p>
      <w:pPr>
        <w:pStyle w:val="ListNumber"/>
        <w:ind w:left="360" w:hanging="360"/>
      </w:pPr>
      <w:r>
        <w:rPr>
          <w:rFonts w:ascii="Calibri" w:hAnsi="Calibri"/>
          <w:b/>
          <w:color w:val="525866"/>
          <w:sz w:val="22"/>
        </w:rPr>
        <w:t xml:space="preserve">Policies in force: </w:t>
      </w:r>
      <w:r>
        <w:rPr>
          <w:rFonts w:ascii="Calibri" w:hAnsi="Calibri"/>
          <w:color w:val="525866"/>
          <w:sz w:val="22"/>
        </w:rPr>
        <w:t>Is there any sequential stabilization in PIF (as THG experienced), or did the -1.7% YoY decline continue?</w:t>
      </w:r>
    </w:p>
    <w:p>
      <w:pPr>
        <w:pStyle w:val="ListNumber"/>
        <w:ind w:left="360" w:hanging="360"/>
      </w:pPr>
      <w:r>
        <w:rPr>
          <w:rFonts w:ascii="Calibri" w:hAnsi="Calibri"/>
          <w:b/>
          <w:color w:val="525866"/>
          <w:sz w:val="22"/>
        </w:rPr>
        <w:t xml:space="preserve">Erie Secure Auto traction: </w:t>
      </w:r>
      <w:r>
        <w:rPr>
          <w:rFonts w:ascii="Calibri" w:hAnsi="Calibri"/>
          <w:color w:val="525866"/>
          <w:sz w:val="22"/>
        </w:rPr>
        <w:t>What is the early read on new business submissions and conversion rates in the four new states launched in Q2?</w:t>
      </w:r>
    </w:p>
    <w:p>
      <w:pPr>
        <w:pStyle w:val="ListNumber"/>
        <w:ind w:left="360" w:hanging="360"/>
      </w:pPr>
      <w:r>
        <w:rPr>
          <w:rFonts w:ascii="Calibri" w:hAnsi="Calibri"/>
          <w:b/>
          <w:color w:val="525866"/>
          <w:sz w:val="22"/>
        </w:rPr>
        <w:t xml:space="preserve">CEO succession: </w:t>
      </w:r>
      <w:r>
        <w:rPr>
          <w:rFonts w:ascii="Calibri" w:hAnsi="Calibri"/>
          <w:color w:val="525866"/>
          <w:sz w:val="22"/>
        </w:rPr>
        <w:t>Any update on the timeline or process for naming Tim Nicastro's successor?</w:t>
      </w:r>
    </w:p>
    <w:p>
      <w:pPr>
        <w:pStyle w:val="ListNumber"/>
        <w:ind w:left="360" w:hanging="360"/>
      </w:pPr>
      <w:r>
        <w:rPr>
          <w:rFonts w:ascii="Calibri" w:hAnsi="Calibri"/>
          <w:b/>
          <w:color w:val="525866"/>
          <w:sz w:val="22"/>
        </w:rPr>
        <w:t xml:space="preserve">Commercial lines reserves: </w:t>
      </w:r>
      <w:r>
        <w:rPr>
          <w:rFonts w:ascii="Calibri" w:hAnsi="Calibri"/>
          <w:color w:val="525866"/>
          <w:sz w:val="22"/>
        </w:rPr>
        <w:t>Any adverse development in commercial auto or general liability consistent with the industry-wide social inflation trends flagged by HIG and CB?</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