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s-earnings-predictions--2026-07-30"/>
    <w:p>
      <w:pPr>
        <w:pStyle w:val="Heading1"/>
      </w:pPr>
      <w:r>
        <w:t xml:space="preserve">ES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non-GAAP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~$0.88 vs. cons $0.87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2.85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2.88B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GAAP EPS (incl. ~$0.31 Aquarion loss-on-sale charge)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0.56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0.62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~$4.65 (range</w:t>
            </w:r>
            <w:r>
              <w:t xml:space="preserve"> </w:t>
            </w:r>
            <m:oMath>
              <m:r>
                <m:t>4.57</m:t>
              </m:r>
              <m:r>
                <m:rPr>
                  <m:sty m:val="p"/>
                </m:rPr>
                <m:t>−</m:t>
              </m:r>
            </m:oMath>
            <w:r>
              <w:t xml:space="preserve">4.72) vs. cons $4.66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EPS CAGR (off $4.65 base)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~5-7% (upper-half by 2028) vs. Street ~6% (2025-2029)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FERC transmission Section 205 ROE path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~11.39% target vs. current 9.57% base (effective 2H26, subject to refund)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CL&amp;P rate case ask / affordability tone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~$727M (~18% res. bill) vs. no cons est. (decision 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-0.6%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-1.3% (FADE)</w:t>
            </w:r>
          </w:p>
        </w:tc>
        <w:tc>
          <w:tcPr/>
          <w:p>
            <w:pPr>
              <w:pStyle w:val="Compact"/>
            </w:pPr>
            <w:r>
              <w:t xml:space="preserve">In-line EPS and a twice-reset guide reaffirmed at $4.65 midpoint offer no upside revision catalyst, while the stock sits near 52-week highs (+10% YTD, well ahead of XLU) with the de-risking thesis largely priced. No out-period estimate raise, ongoing FERC retroactive-refund overhang, and politically charged CL&amp;P rate case tone bias post-print revisions/positioning modestly lower, so an initial flat-to-down reaction fades further.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2026-07-29T20:25:32Z</dcterms:created>
  <dcterms:modified xsi:type="dcterms:W3CDTF">2026-07-29T20:25:32Z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