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ES (Eversource Energy) before writing the preview. Let me gather recent earnings, filings, news, and price data.Let me read the most recent earnings materials and check for recent filings/news.Let me check recent developments since the Q1 call (Aquarion close, FERC, Revolution Wind, CT rate case) via news and 8-Ks.Let me read the Aquarion sale completion 8-K and the recent news video transcript.Let me check the latest on Revolution Wind status and the CL&amp;P rate case / FERC ROE developments, plus consensus estimates.Let me get specifics on the CL&amp;P rate case filing and Q2 consensus, plus Revolution Wind latest.I have enough to write a well-grounded preview. Here it is.</w:t>
      </w:r>
    </w:p>
    <w:p>
      <w:r>
        <w:pict>
          <v:rect style="width:0;height:1.5pt" o:hralign="center" o:hrstd="t" o:hr="t"/>
        </w:pict>
      </w:r>
    </w:p>
    <w:bookmarkStart w:id="18" w:name="Xe350d9105133d1bb079c2f5e1e6029a1a9e053d"/>
    <w:p>
      <w:pPr>
        <w:pStyle w:val="Heading1"/>
      </w:pPr>
      <w:r>
        <w:t xml:space="preserve">Eversource Energy (ES) — Q2 2026 Earnings Preview</w:t>
      </w:r>
    </w:p>
    <w:bookmarkStart w:id="9" w:name="Xe92356e7f7634476bdfef9b825646d1089e15c3"/>
    <w:p>
      <w:pPr>
        <w:pStyle w:val="Heading3"/>
      </w:pPr>
      <w:r>
        <w:t xml:space="preserve">Reports before market open Thursday, July 30, 2026 | Conference call 9:00 a.m. ET</w:t>
      </w:r>
    </w:p>
    <w:bookmarkEnd w:id="9"/>
    <w:bookmarkStart w:id="1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is a "prove the de-risking is working" quarter more than an EPS quarter. Eversource's numbers should be a sideshow relative to the three overhangs investors actually care about: the</w:t>
      </w:r>
      <w:r>
        <w:t xml:space="preserve"> </w:t>
      </w:r>
      <w:r>
        <w:rPr>
          <w:b/>
          <w:bCs/>
        </w:rPr>
        <w:t xml:space="preserve">FERC transmission ROE fight</w:t>
      </w:r>
      <w:r>
        <w:t xml:space="preserve">, the freshly-filed</w:t>
      </w:r>
      <w:r>
        <w:t xml:space="preserve"> </w:t>
      </w:r>
      <w:r>
        <w:rPr>
          <w:b/>
          <w:bCs/>
        </w:rPr>
        <w:t xml:space="preserve">$727M CL&amp;P rate case**, and closure/proceeds deployment from the **$</w:t>
      </w:r>
      <w:r>
        <w:rPr>
          <w:b/>
          <w:bCs/>
        </w:rPr>
        <w:t xml:space="preserve">2.4B Aquarion sale</w:t>
      </w:r>
      <w:r>
        <w:t xml:space="preserve">. The Street is looking for roughly **</w:t>
      </w:r>
      <m:oMath>
        <m:r>
          <m:t>0.87</m:t>
        </m:r>
        <m:r>
          <m:t>i</m:t>
        </m:r>
        <m:r>
          <m:t>n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G</m:t>
        </m:r>
        <m:r>
          <m:t>A</m:t>
        </m:r>
        <m:r>
          <m:t>A</m:t>
        </m:r>
        <m:r>
          <m:t>P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o</m:t>
        </m:r>
        <m:r>
          <m:t>r</m:t>
        </m:r>
        <m:r>
          <m:t>Q</m:t>
        </m:r>
        <m:r>
          <m:t>2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o</m:t>
        </m:r>
        <m:r>
          <m:t>f</m:t>
        </m:r>
        <m:r>
          <m:t> </m:t>
        </m:r>
      </m:oMath>
      <w:r>
        <w:t xml:space="preserve">4.66 sitting essentially on top of management's revised guidance midpoint of $4.65 (range</w:t>
      </w:r>
      <w:r>
        <w:t xml:space="preserve"> </w:t>
      </w:r>
      <m:oMath>
        <m:r>
          <m:t>4.57</m:t>
        </m:r>
        <m:r>
          <m:rPr>
            <m:sty m:val="p"/>
          </m:rPr>
          <m:t>–</m:t>
        </m:r>
      </m:oMath>
      <w:r>
        <w:t xml:space="preserve">4.72). With guidance already reset twice this year, the bar into the print is more about narrative and milestones than the headline.</w:t>
      </w:r>
    </w:p>
    <w:p>
      <w:r>
        <w:pict>
          <v:rect style="width:0;height:1.5pt" o:hralign="center" o:hrstd="t" o:hr="t"/>
        </w:pict>
      </w:r>
    </w:p>
    <w:bookmarkEnd w:id="10"/>
    <w:bookmarkStart w:id="11" w:name="X729f5641435d1f6019c53a6f268dcab3bcfca02"/>
    <w:p>
      <w:pPr>
        <w:pStyle w:val="Heading2"/>
      </w:pPr>
      <w:r>
        <w:t xml:space="preserve">1. What to watch on the numbers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Consensus:</w:t>
      </w:r>
      <w:r>
        <w:t xml:space="preserve"> </w:t>
      </w:r>
      <w:r>
        <w:t xml:space="preserve">KeyBanc's Sophie Karp models</w:t>
      </w:r>
      <w:r>
        <w:t xml:space="preserve"> </w:t>
      </w:r>
      <m:oMath>
        <m:r>
          <m:t>0.87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o</m:t>
        </m:r>
        <m:r>
          <m:t>r</m:t>
        </m:r>
        <m:r>
          <m:t>Q</m:t>
        </m:r>
        <m:r>
          <m:t>2</m:t>
        </m:r>
        <m:r>
          <m:rPr>
            <m:sty m:val="p"/>
          </m:rPr>
          <m:t>;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S</m:t>
        </m:r>
        <m:r>
          <m:t>t</m:t>
        </m:r>
        <m:r>
          <m:t>r</m:t>
        </m:r>
        <m:r>
          <m:t>e</m:t>
        </m:r>
        <m:r>
          <m:t>e</m:t>
        </m:r>
        <m:r>
          <m:t>t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i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4.66</w:t>
      </w:r>
      <w:r>
        <w:t xml:space="preserve">, versus company guidance of</w:t>
      </w:r>
      <w:r>
        <w:t xml:space="preserve"> </w:t>
      </w:r>
      <m:oMath>
        <m:r>
          <m:t>4.57</m:t>
        </m:r>
        <m:r>
          <m:rPr>
            <m:sty m:val="p"/>
          </m:rPr>
          <m:t>–</m:t>
        </m:r>
      </m:oMath>
      <w:r>
        <w:rPr>
          <w:b/>
          <w:bCs/>
        </w:rPr>
        <w:t xml:space="preserve">4.72</w:t>
      </w:r>
      <w:r>
        <w:t xml:space="preserve"> </w:t>
      </w:r>
      <w:r>
        <w:t xml:space="preserve">(midpoint $4.65).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GAAP vs. non-GAAP noise:</w:t>
      </w:r>
      <w:r>
        <w:t xml:space="preserve"> </w:t>
      </w:r>
      <w:r>
        <w:t xml:space="preserve">Q2 GAAP will carry a</w:t>
      </w:r>
      <w:r>
        <w:t xml:space="preserve"> </w:t>
      </w:r>
      <w:r>
        <w:rPr>
          <w:b/>
          <w:bCs/>
        </w:rPr>
        <w:t xml:space="preserve">~</w:t>
      </w:r>
      <m:oMath>
        <m:r>
          <m:t>115</m:t>
        </m:r>
        <m:r>
          <m:t>M</m:t>
        </m:r>
        <m:r>
          <m:rPr>
            <m:sty m:val="p"/>
          </m:rPr>
          <m:t>/</m:t>
        </m:r>
        <m:r>
          <m:t> </m:t>
        </m:r>
      </m:oMath>
      <w:r>
        <w:rPr>
          <w:b/>
          <w:bCs/>
        </w:rPr>
        <w:t xml:space="preserve">0.31 per share non-cash, non-recurring charge</w:t>
      </w:r>
      <w:r>
        <w:t xml:space="preserve"> </w:t>
      </w:r>
      <w:r>
        <w:t xml:space="preserve">from the Aquarion loss on sale. That's already contemplated in guidance and excluded from non-GAAP — don't be surprised by an ugly GAAP headline.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Segment drivers YTD:</w:t>
      </w:r>
      <w:r>
        <w:t xml:space="preserve"> </w:t>
      </w:r>
      <w:r>
        <w:t xml:space="preserve">Q1's beat was led by</w:t>
      </w:r>
      <w:r>
        <w:t xml:space="preserve"> </w:t>
      </w:r>
      <w:r>
        <w:rPr>
          <w:b/>
          <w:bCs/>
        </w:rPr>
        <w:t xml:space="preserve">Gas distribution</w:t>
      </w:r>
      <w:r>
        <w:t xml:space="preserve"> </w:t>
      </w:r>
      <w:r>
        <w:t xml:space="preserve">(+</w:t>
      </w:r>
      <m:oMath>
        <m:r>
          <m:t>0.18</m:t>
        </m:r>
        <m:r>
          <m:rPr>
            <m:sty m:val="p"/>
          </m:rPr>
          <m:t>,</m:t>
        </m:r>
        <m:r>
          <m:t>M</m:t>
        </m:r>
        <m:r>
          <m:t>A</m:t>
        </m:r>
        <m:r>
          <m:t>r</m:t>
        </m:r>
        <m:r>
          <m:t>a</m:t>
        </m:r>
        <m:r>
          <m:t>t</m:t>
        </m:r>
        <m:r>
          <m:t>e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+</m:t>
        </m:r>
        <m:r>
          <m:t>Y</m:t>
        </m:r>
        <m:r>
          <m:t>a</m:t>
        </m:r>
        <m:r>
          <m:t>n</m:t>
        </m:r>
        <m:r>
          <m:t>k</m:t>
        </m:r>
        <m:r>
          <m:t>e</m:t>
        </m:r>
        <m:r>
          <m:t>e</m:t>
        </m:r>
        <m:r>
          <m:t>G</m:t>
        </m:r>
        <m:r>
          <m:t>a</m:t>
        </m:r>
        <m:r>
          <m:t>s</m:t>
        </m:r>
        <m:r>
          <m:t>r</m:t>
        </m:r>
        <m:r>
          <m:t>a</m:t>
        </m:r>
        <m:r>
          <m:t>t</m:t>
        </m:r>
        <m:r>
          <m:t>e</m:t>
        </m:r>
        <m:r>
          <m:t>c</m:t>
        </m:r>
        <m:r>
          <m:t>a</m:t>
        </m:r>
        <m:r>
          <m:t>s</m:t>
        </m:r>
        <m:r>
          <m:t>e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m</m:t>
        </m:r>
        <m:r>
          <m:t>i</m:t>
        </m:r>
        <m:r>
          <m:t>s</m:t>
        </m:r>
        <m:r>
          <m:t>s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</m:oMath>
      <w:r>
        <w:t xml:space="preserve">0.06 ex-FERC charge). Watch whether gas momentum and transmission investment growth carry through Q2, and whether</w:t>
      </w:r>
      <w:r>
        <w:t xml:space="preserve"> </w:t>
      </w:r>
      <w:r>
        <w:rPr>
          <w:b/>
          <w:bCs/>
        </w:rPr>
        <w:t xml:space="preserve">parent drag</w:t>
      </w:r>
      <w:r>
        <w:t xml:space="preserve"> </w:t>
      </w:r>
      <w:r>
        <w:t xml:space="preserve">(higher interest + tax rate) keeps widening.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Guidance:</w:t>
      </w:r>
      <w:r>
        <w:t xml:space="preserve"> </w:t>
      </w:r>
      <w:r>
        <w:t xml:space="preserve">Expect management to</w:t>
      </w:r>
      <w:r>
        <w:t xml:space="preserve"> </w:t>
      </w:r>
      <w:r>
        <w:rPr>
          <w:b/>
          <w:bCs/>
        </w:rPr>
        <w:t xml:space="preserve">reaffirm 2026 of</w:t>
      </w:r>
      <w:r>
        <w:rPr>
          <w:b/>
          <w:bCs/>
        </w:rPr>
        <w:t xml:space="preserve"> </w:t>
      </w:r>
      <m:oMath>
        <m:r>
          <m:t>4.57</m:t>
        </m:r>
        <m:r>
          <m:rPr>
            <m:sty m:val="p"/>
          </m:rPr>
          <m:t>–</m:t>
        </m:r>
      </m:oMath>
      <w:r>
        <w:rPr>
          <w:b/>
          <w:bCs/>
        </w:rPr>
        <w:t xml:space="preserve">4.72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5–7% long-term CAGR off the $4.65 base, upper-half by 2028</w:t>
      </w:r>
      <w:r>
        <w:t xml:space="preserve">. Any change to the 2026 range or the transmission ROE assumption embedded in it would be the swing factor.</w:t>
      </w:r>
    </w:p>
    <w:p>
      <w:r>
        <w:pict>
          <v:rect style="width:0;height:1.5pt" o:hralign="center" o:hrstd="t" o:hr="t"/>
        </w:pict>
      </w:r>
    </w:p>
    <w:bookmarkEnd w:id="11"/>
    <w:bookmarkStart w:id="12" w:name="Xb0f18368f4e1447633d86639fdd68e0799dce42"/>
    <w:p>
      <w:pPr>
        <w:pStyle w:val="Heading2"/>
      </w:pPr>
      <w:r>
        <w:t xml:space="preserve">2. The FERC transmission ROE — the single biggest variable</w:t>
      </w:r>
    </w:p>
    <w:p>
      <w:pPr>
        <w:pStyle w:val="FirstParagraph"/>
      </w:pPr>
      <w:r>
        <w:t xml:space="preserve">The March 19 FERC order cut the New England base transmission ROE from</w:t>
      </w:r>
      <w:r>
        <w:t xml:space="preserve"> </w:t>
      </w:r>
      <w:r>
        <w:rPr>
          <w:b/>
          <w:bCs/>
        </w:rPr>
        <w:t xml:space="preserve">10.57% to 9.57%</w:t>
      </w:r>
      <w:r>
        <w:t xml:space="preserve"> </w:t>
      </w:r>
      <w:r>
        <w:t xml:space="preserve">(~$70M annual after-tax hit, plus a</w:t>
      </w:r>
      <w:r>
        <w:t xml:space="preserve"> </w:t>
      </w:r>
      <m:oMath>
        <m:r>
          <m:t>43.9</m:t>
        </m:r>
        <m:r>
          <m:t>M</m:t>
        </m:r>
        <m:r>
          <m:rPr>
            <m:sty m:val="p"/>
          </m:rPr>
          <m:t>/</m:t>
        </m:r>
      </m:oMath>
      <w:r>
        <w:t xml:space="preserve">0.12 refund charge booked in Q1). Eversource is fighting on multiple fronts, but the key catalyst is the</w:t>
      </w:r>
      <w:r>
        <w:t xml:space="preserve"> </w:t>
      </w:r>
      <w:r>
        <w:rPr>
          <w:b/>
          <w:bCs/>
        </w:rPr>
        <w:t xml:space="preserve">Section 205 filing seeking a prospective 11.39% ROE</w:t>
      </w:r>
      <w:r>
        <w:t xml:space="preserve"> </w:t>
      </w:r>
      <w:r>
        <w:t xml:space="preserve">(using FERC's own methodology but current data), which management expects to go effective</w:t>
      </w:r>
      <w:r>
        <w:t xml:space="preserve"> </w:t>
      </w:r>
      <w:r>
        <w:rPr>
          <w:b/>
          <w:bCs/>
        </w:rPr>
        <w:t xml:space="preserve">later this year, subject to refund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What to listen for:</w:t>
      </w:r>
    </w:p>
    <w:p>
      <w:pPr>
        <w:pStyle w:val="Compact"/>
        <w:numPr>
          <w:ilvl w:val="0"/>
          <w:numId w:val="1002"/>
        </w:numPr>
      </w:pPr>
      <w:r>
        <w:t xml:space="preserve">Progress on the</w:t>
      </w:r>
      <w:r>
        <w:t xml:space="preserve"> </w:t>
      </w:r>
      <w:r>
        <w:rPr>
          <w:b/>
          <w:bCs/>
        </w:rPr>
        <w:t xml:space="preserve">settlement-judge process</w:t>
      </w:r>
      <w:r>
        <w:t xml:space="preserve"> </w:t>
      </w:r>
      <w:r>
        <w:t xml:space="preserve">(all six New England states' AGs/advocates at the table) and any read-through from the</w:t>
      </w:r>
      <w:r>
        <w:t xml:space="preserve"> </w:t>
      </w:r>
      <w:r>
        <w:rPr>
          <w:b/>
          <w:bCs/>
        </w:rPr>
        <w:t xml:space="preserve">MISO ROE case</w:t>
      </w:r>
      <w:r>
        <w:t xml:space="preserve"> </w:t>
      </w:r>
      <w:r>
        <w:t xml:space="preserve">as a data point.</w:t>
      </w:r>
    </w:p>
    <w:p>
      <w:pPr>
        <w:pStyle w:val="Compact"/>
        <w:numPr>
          <w:ilvl w:val="0"/>
          <w:numId w:val="1002"/>
        </w:numPr>
      </w:pPr>
      <w:r>
        <w:t xml:space="preserve">Any update on the ~</w:t>
      </w:r>
      <w:r>
        <w:rPr>
          <w:b/>
          <w:bCs/>
        </w:rPr>
        <w:t xml:space="preserve">$880M retroactive refund exposure</w:t>
      </w:r>
      <w:r>
        <w:t xml:space="preserve"> </w:t>
      </w:r>
      <w:r>
        <w:t xml:space="preserve">— management has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reserved beyond the 15-month period, arguing the retroactive-to-2014 piece is legally flawed. Any change in that accounting stance would be material.</w:t>
      </w:r>
    </w:p>
    <w:p>
      <w:pPr>
        <w:pStyle w:val="Compact"/>
        <w:numPr>
          <w:ilvl w:val="0"/>
          <w:numId w:val="1002"/>
        </w:numPr>
      </w:pPr>
      <w:r>
        <w:t xml:space="preserve">Whether the ~11.39% eventually gets embedded in guidance (management said that decision waits until the Q4 call in February).</w:t>
      </w:r>
    </w:p>
    <w:p>
      <w:r>
        <w:pict>
          <v:rect style="width:0;height:1.5pt" o:hralign="center" o:hrstd="t" o:hr="t"/>
        </w:pict>
      </w:r>
    </w:p>
    <w:bookmarkEnd w:id="12"/>
    <w:bookmarkStart w:id="13" w:name="X2b6153019cfe6c00302420e8e71d1632d59fba0"/>
    <w:p>
      <w:pPr>
        <w:pStyle w:val="Heading2"/>
      </w:pPr>
      <w:r>
        <w:t xml:space="preserve">3. The CL&amp;P rate case — new overhang, and it's politically hot</w:t>
      </w:r>
    </w:p>
    <w:p>
      <w:pPr>
        <w:pStyle w:val="FirstParagraph"/>
      </w:pPr>
      <w:r>
        <w:t xml:space="preserve">Since the last print, Eversource filed its first CL&amp;P rate review in</w:t>
      </w:r>
      <w:r>
        <w:t xml:space="preserve"> </w:t>
      </w:r>
      <w:r>
        <w:rPr>
          <w:b/>
          <w:bCs/>
        </w:rPr>
        <w:t xml:space="preserve">nine years</w:t>
      </w:r>
      <w:r>
        <w:t xml:space="preserve">, requesting a</w:t>
      </w:r>
      <w:r>
        <w:t xml:space="preserve"> </w:t>
      </w:r>
      <w:r>
        <w:rPr>
          <w:b/>
          <w:bCs/>
        </w:rPr>
        <w:t xml:space="preserve">~$727M annual increase (~18% on the average residential bill)</w:t>
      </w:r>
      <w:r>
        <w:t xml:space="preserve">. It has already drawn a sharp political reaction — CT Attorney General Tong publicly branded the filing a "tone-deaf insult." This reframes the Connecticut story: after a period of</w:t>
      </w:r>
      <w:r>
        <w:t xml:space="preserve"> </w:t>
      </w:r>
      <w:r>
        <w:rPr>
          <w:i/>
          <w:iCs/>
        </w:rPr>
        <w:t xml:space="preserve">constructive</w:t>
      </w:r>
      <w:r>
        <w:t xml:space="preserve"> </w:t>
      </w:r>
      <w:r>
        <w:t xml:space="preserve">PURA decisions (the favorable RAM decision, storm reserve funding, forecast-based TPA rates), ES is now walking into a high-profile, affordability-charged proceeding.</w:t>
      </w:r>
    </w:p>
    <w:p>
      <w:pPr>
        <w:pStyle w:val="BodyText"/>
      </w:pPr>
      <w:r>
        <w:rPr>
          <w:b/>
          <w:bCs/>
        </w:rPr>
        <w:t xml:space="preserve">What to listen for:</w:t>
      </w:r>
      <w:r>
        <w:t xml:space="preserve"> </w:t>
      </w:r>
      <w:r>
        <w:t xml:space="preserve">procedural schedule, management's framing on affordability, and how it squares a large ask against a still-improving CT regulatory relationship. A decision isn't expected until</w:t>
      </w:r>
      <w:r>
        <w:t xml:space="preserve"> </w:t>
      </w:r>
      <w:r>
        <w:rPr>
          <w:b/>
          <w:bCs/>
        </w:rPr>
        <w:t xml:space="preserve">2027</w:t>
      </w:r>
      <w:r>
        <w:t xml:space="preserve">, so this is a multi-quarter overhang, not a near-term catalyst — but tone matters.</w:t>
      </w:r>
    </w:p>
    <w:p>
      <w:r>
        <w:pict>
          <v:rect style="width:0;height:1.5pt" o:hralign="center" o:hrstd="t" o:hr="t"/>
        </w:pict>
      </w:r>
    </w:p>
    <w:bookmarkEnd w:id="13"/>
    <w:bookmarkStart w:id="14" w:name="X9308cafec544a8e780d973f83501493984d9de2"/>
    <w:p>
      <w:pPr>
        <w:pStyle w:val="Heading2"/>
      </w:pPr>
      <w:r>
        <w:t xml:space="preserve">4. Balance-sheet de-risking — largely delivered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Aquarion closed June 30</w:t>
      </w:r>
      <w:r>
        <w:t xml:space="preserve"> </w:t>
      </w:r>
      <w:r>
        <w:t xml:space="preserve">at</w:t>
      </w:r>
      <w:r>
        <w:t xml:space="preserve"> </w:t>
      </w:r>
      <m:oMath>
        <m:r>
          <m:t>2.4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1.7B net equity proceeds</w:t>
      </w:r>
      <w:r>
        <w:t xml:space="preserve"> </w:t>
      </w:r>
      <w:r>
        <w:t xml:space="preserve">to pay down parent debt — completing the pivot to a</w:t>
      </w:r>
      <w:r>
        <w:t xml:space="preserve"> </w:t>
      </w:r>
      <w:r>
        <w:rPr>
          <w:b/>
          <w:bCs/>
        </w:rPr>
        <w:t xml:space="preserve">pure-play regulated "pipes and wires"</w:t>
      </w:r>
      <w:r>
        <w:t xml:space="preserve"> </w:t>
      </w:r>
      <w:r>
        <w:t xml:space="preserve">electric + gas utility. (Note: the buyer's bond sale reportedly implies CT water rates rising ~60% over a decade — a customer/political story, not an ES P&amp;L story.)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FFO/debt</w:t>
      </w:r>
      <w:r>
        <w:t xml:space="preserve"> </w:t>
      </w:r>
      <w:r>
        <w:t xml:space="preserve">sat at</w:t>
      </w:r>
      <w:r>
        <w:t xml:space="preserve"> </w:t>
      </w:r>
      <w:r>
        <w:rPr>
          <w:b/>
          <w:bCs/>
        </w:rPr>
        <w:t xml:space="preserve">14.2% (S&amp;P) / 14.5% (Moody's)</w:t>
      </w:r>
      <w:r>
        <w:t xml:space="preserve">, &gt;100 bps above downgrade thresholds; S&amp;P reaffirmed ratings with a stable outlook post-FERC.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Modest equity need</w:t>
      </w:r>
      <w:r>
        <w:t xml:space="preserve"> </w:t>
      </w:r>
      <w:r>
        <w:t xml:space="preserve">of just</w:t>
      </w:r>
      <w:r>
        <w:t xml:space="preserve"> </w:t>
      </w:r>
      <m:oMath>
        <m:r>
          <m:t>800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1.1B through 2030</w:t>
      </w:r>
      <w:r>
        <w:t xml:space="preserve">; the Feb JSN offering (</w:t>
      </w:r>
      <m:oMath>
        <m:r>
          <m:t>1.5</m:t>
        </m:r>
        <m:r>
          <m:t>B</m:t>
        </m:r>
        <m:r>
          <m:rPr>
            <m:sty m:val="p"/>
          </m:rPr>
          <m:t>,</m:t>
        </m:r>
        <m:r>
          <m:t>5</m:t>
        </m:r>
        <m:r>
          <m:t>x</m:t>
        </m:r>
        <m:r>
          <m:t>o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b</m:t>
        </m:r>
        <m:r>
          <m:t>s</m:t>
        </m:r>
        <m:r>
          <m:t>c</m:t>
        </m:r>
        <m:r>
          <m:t>r</m:t>
        </m:r>
        <m:r>
          <m:t>i</m:t>
        </m:r>
        <m:r>
          <m:t>b</m:t>
        </m:r>
        <m:r>
          <m:t>e</m:t>
        </m:r>
        <m:r>
          <m:t>d</m:t>
        </m:r>
        <m:r>
          <m:rPr>
            <m:sty m:val="p"/>
          </m:rPr>
          <m:t>)</m:t>
        </m:r>
        <m:r>
          <m:t>p</m:t>
        </m:r>
        <m:r>
          <m:t>l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2B of CT + NH storm-cost securitization proceeds** expected over the next 12–18 months give management flexibility and "no urgency" to issue equity. Watch for any updated equity/financing commentary and the timing of the</w:t>
      </w:r>
      <w:r>
        <w:t xml:space="preserve"> </w:t>
      </w:r>
      <w:r>
        <w:rPr>
          <w:b/>
          <w:bCs/>
        </w:rPr>
        <w:t xml:space="preserve">CT storm-cost prudency decision (expected July)</w:t>
      </w:r>
      <w:r>
        <w:t xml:space="preserve"> </w:t>
      </w:r>
      <w:r>
        <w:t xml:space="preserve">that unlocks securitization.</w:t>
      </w:r>
    </w:p>
    <w:p>
      <w:r>
        <w:pict>
          <v:rect style="width:0;height:1.5pt" o:hralign="center" o:hrstd="t" o:hr="t"/>
        </w:pict>
      </w:r>
    </w:p>
    <w:bookmarkEnd w:id="14"/>
    <w:bookmarkStart w:id="15" w:name="X0d23b6492e2d5d1482402c15ddc4938711ee409"/>
    <w:p>
      <w:pPr>
        <w:pStyle w:val="Heading2"/>
      </w:pPr>
      <w:r>
        <w:t xml:space="preserve">5. Revolution Wind — residual, but real, tail risk</w:t>
      </w:r>
    </w:p>
    <w:p>
      <w:pPr>
        <w:pStyle w:val="FirstParagraph"/>
      </w:pPr>
      <w:r>
        <w:t xml:space="preserve">Eversource exited offshore wind (sold to GIP), but retains a</w:t>
      </w:r>
      <w:r>
        <w:t xml:space="preserve"> </w:t>
      </w:r>
      <w:r>
        <w:rPr>
          <w:b/>
          <w:bCs/>
        </w:rPr>
        <w:t xml:space="preserve">contingent liability to GIP</w:t>
      </w:r>
      <w:r>
        <w:t xml:space="preserve"> </w:t>
      </w:r>
      <w:r>
        <w:t xml:space="preserve">tied to a post-closing purchase-price adjustment on Revolution/South Fork. The project endured</w:t>
      </w:r>
      <w:r>
        <w:t xml:space="preserve"> </w:t>
      </w:r>
      <w:r>
        <w:rPr>
          <w:b/>
          <w:bCs/>
        </w:rPr>
        <w:t xml:space="preserve">federal stop-work orders in late 2025</w:t>
      </w:r>
      <w:r>
        <w:t xml:space="preserve">, with a court</w:t>
      </w:r>
      <w:r>
        <w:t xml:space="preserve"> </w:t>
      </w:r>
      <w:r>
        <w:rPr>
          <w:b/>
          <w:bCs/>
        </w:rPr>
        <w:t xml:space="preserve">injunction in January 2026</w:t>
      </w:r>
      <w:r>
        <w:t xml:space="preserve"> </w:t>
      </w:r>
      <w:r>
        <w:t xml:space="preserve">allowing construction to resume; it was</w:t>
      </w:r>
      <w:r>
        <w:t xml:space="preserve"> </w:t>
      </w:r>
      <w:r>
        <w:rPr>
          <w:b/>
          <w:bCs/>
        </w:rPr>
        <w:t xml:space="preserve">~95% complete</w:t>
      </w:r>
      <w:r>
        <w:t xml:space="preserve"> </w:t>
      </w:r>
      <w:r>
        <w:t xml:space="preserve">at the Q1 call with COD guided to</w:t>
      </w:r>
      <w:r>
        <w:t xml:space="preserve"> </w:t>
      </w:r>
      <w:r>
        <w:rPr>
          <w:b/>
          <w:bCs/>
        </w:rPr>
        <w:t xml:space="preserve">2H26</w:t>
      </w:r>
      <w:r>
        <w:t xml:space="preserve">. Any update to the</w:t>
      </w:r>
      <w:r>
        <w:t xml:space="preserve"> </w:t>
      </w:r>
      <w:r>
        <w:rPr>
          <w:b/>
          <w:bCs/>
        </w:rPr>
        <w:t xml:space="preserve">commercial operation date</w:t>
      </w:r>
      <w:r>
        <w:t xml:space="preserve"> </w:t>
      </w:r>
      <w:r>
        <w:t xml:space="preserve">or to the</w:t>
      </w:r>
      <w:r>
        <w:t xml:space="preserve"> </w:t>
      </w:r>
      <w:r>
        <w:rPr>
          <w:b/>
          <w:bCs/>
        </w:rPr>
        <w:t xml:space="preserve">adequacy of the contingent liability balance</w:t>
      </w:r>
      <w:r>
        <w:t xml:space="preserve"> </w:t>
      </w:r>
      <w:r>
        <w:t xml:space="preserve">is worth watching — a slip or cost overrun flows back to ES.</w:t>
      </w:r>
    </w:p>
    <w:p>
      <w:r>
        <w:pict>
          <v:rect style="width:0;height:1.5pt" o:hralign="center" o:hrstd="t" o:hr="t"/>
        </w:pict>
      </w:r>
    </w:p>
    <w:bookmarkEnd w:id="15"/>
    <w:bookmarkStart w:id="17" w:name="X5b07964276744d9d969a8648fe5f36adcdeca04"/>
    <w:p>
      <w:pPr>
        <w:pStyle w:val="Heading2"/>
      </w:pPr>
      <w:r>
        <w:t xml:space="preserve">6. Setup into the print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Stock:</w:t>
      </w:r>
      <w:r>
        <w:t xml:space="preserve"> </w:t>
      </w:r>
      <w:r>
        <w:t xml:space="preserve">ES closed ~**</w:t>
      </w:r>
      <m:oMath>
        <m:r>
          <m:t>74.78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29</m:t>
        </m:r>
        <m:r>
          <m:rPr>
            <m:sty m:val="p"/>
          </m:rPr>
          <m:t>,</m:t>
        </m:r>
        <m:r>
          <m:t>u</m:t>
        </m:r>
        <m:r>
          <m:t>p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10</m:t>
        </m:r>
      </m:oMath>
      <w:r>
        <w:t xml:space="preserve">68, and has</w:t>
      </w:r>
      <w:r>
        <w:t xml:space="preserve"> </w:t>
      </w:r>
      <w:r>
        <w:rPr>
          <w:b/>
          <w:bCs/>
        </w:rPr>
        <w:t xml:space="preserve">outperformed the utility sector</w:t>
      </w:r>
      <w:r>
        <w:t xml:space="preserve"> </w:t>
      </w:r>
      <w:r>
        <w:t xml:space="preserve">(XLU roughly +4% YTD). It has fully recovered from the March FERC-decision swoon to ~$66 and is trading near the year's highs — meaning the "de-risking" thesis is at least partly priced in.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Dividend:</w:t>
      </w:r>
      <w:r>
        <w:t xml:space="preserve"> </w:t>
      </w:r>
      <w:r>
        <w:t xml:space="preserve">quarterly **</w:t>
      </w:r>
      <m:oMath>
        <m:r>
          <m:t>0.7875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</m:oMath>
      <w:r>
        <w:t xml:space="preserve">3.15 annualized).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Risk/reward:</w:t>
      </w:r>
      <w:r>
        <w:t xml:space="preserve"> </w:t>
      </w:r>
      <w:r>
        <w:t xml:space="preserve">With guidance twice-reset and consensus centered on the midpoint, the near-term EPS bar looks achievable. The asymmetry is in the qualitative updates — a constructive FERC settlement path or a smooth securitization timeline could support the re-rating; escalation on the FERC refund exposure or a contentious CL&amp;P case reception are the downside pressures.</w:t>
      </w:r>
    </w:p>
    <w:p>
      <w:r>
        <w:pict>
          <v:rect style="width:0;height:1.5pt" o:hralign="center" o:hrstd="t" o:hr="t"/>
        </w:pict>
      </w:r>
    </w:p>
    <w:bookmarkStart w:id="16" w:name="scorecard-for-the-call"/>
    <w:p>
      <w:pPr>
        <w:pStyle w:val="Heading3"/>
      </w:pPr>
      <w:r>
        <w:t xml:space="preserve">Scorecard for the call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Bull signal</w:t>
            </w:r>
          </w:p>
        </w:tc>
        <w:tc>
          <w:tcPr/>
          <w:p>
            <w:pPr>
              <w:pStyle w:val="Compact"/>
            </w:pPr>
            <w:r>
              <w:t xml:space="preserve">Bear signal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Guidance</w:t>
            </w:r>
          </w:p>
        </w:tc>
        <w:tc>
          <w:tcPr/>
          <w:p>
            <w:pPr>
              <w:pStyle w:val="Compact"/>
            </w:pPr>
            <w:r>
              <w:t xml:space="preserve">Reaffirm/tighten toward high end</w:t>
            </w:r>
          </w:p>
        </w:tc>
        <w:tc>
          <w:tcPr/>
          <w:p>
            <w:pPr>
              <w:pStyle w:val="Compact"/>
            </w:pPr>
            <w:r>
              <w:t xml:space="preserve">Any cut or ROE-assumption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FERC 205</w:t>
            </w:r>
          </w:p>
        </w:tc>
        <w:tc>
          <w:tcPr/>
          <w:p>
            <w:pPr>
              <w:pStyle w:val="Compact"/>
            </w:pPr>
            <w:r>
              <w:t xml:space="preserve">Settlement judge appointed, path to ~11.39%</w:t>
            </w:r>
          </w:p>
        </w:tc>
        <w:tc>
          <w:tcPr/>
          <w:p>
            <w:pPr>
              <w:pStyle w:val="Compact"/>
            </w:pPr>
            <w:r>
              <w:t xml:space="preserve">No progress; retroactive refund reserve added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CL&amp;P case</w:t>
            </w:r>
          </w:p>
        </w:tc>
        <w:tc>
          <w:tcPr/>
          <w:p>
            <w:pPr>
              <w:pStyle w:val="Compact"/>
            </w:pPr>
            <w:r>
              <w:t xml:space="preserve">Constructive tone, affordability plan</w:t>
            </w:r>
          </w:p>
        </w:tc>
        <w:tc>
          <w:tcPr/>
          <w:p>
            <w:pPr>
              <w:pStyle w:val="Compact"/>
            </w:pPr>
            <w:r>
              <w:t xml:space="preserve">Escalating political/regulatory friction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Financing</w:t>
            </w:r>
          </w:p>
        </w:tc>
        <w:tc>
          <w:tcPr/>
          <w:p>
            <w:pPr>
              <w:pStyle w:val="Compact"/>
            </w:pPr>
            <w:r>
              <w:t xml:space="preserve">Securitization on track, no equity urgency</w:t>
            </w:r>
          </w:p>
        </w:tc>
        <w:tc>
          <w:tcPr/>
          <w:p>
            <w:pPr>
              <w:pStyle w:val="Compact"/>
            </w:pPr>
            <w:r>
              <w:t xml:space="preserve">Larger/earlier equity need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 Wind</w:t>
            </w:r>
          </w:p>
        </w:tc>
        <w:tc>
          <w:tcPr/>
          <w:p>
            <w:pPr>
              <w:pStyle w:val="Compact"/>
            </w:pPr>
            <w:r>
              <w:t xml:space="preserve">COD confirmed 2H26, liability unchanged</w:t>
            </w:r>
          </w:p>
        </w:tc>
        <w:tc>
          <w:tcPr/>
          <w:p>
            <w:pPr>
              <w:pStyle w:val="Compact"/>
            </w:pPr>
            <w:r>
              <w:t xml:space="preserve">COD slip / higher contingent liability</w:t>
            </w:r>
          </w:p>
        </w:tc>
      </w:tr>
    </w:tbl>
    <w:p>
      <w:pPr>
        <w:pStyle w:val="BodyText"/>
      </w:pPr>
      <w:r>
        <w:rPr>
          <w:i/>
          <w:iCs/>
        </w:rPr>
        <w:t xml:space="preserve">Preview based on ES's Q1 2026 results and call, the June 30 Aquarion-close 8-K, and public news/regulatory developments through late July 2026. Consensus/estimate figures are as reported by third-party analysts and may differ from the company's actual reported basis.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2026-07-29T20:25:32Z</dcterms:created>
  <dcterms:modified xsi:type="dcterms:W3CDTF">2026-07-29T20:25:32Z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