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-earnings-predictions--2026-07-30"/>
    <w:p>
      <w:pPr>
        <w:pStyle w:val="Heading1"/>
      </w:pPr>
      <w:r>
        <w:t xml:space="preserve">ES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~$0.90 vs. cons $0.88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~$3.05B vs. cons $3.07B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EPS (incl. Aquarion $0.31 divestiture charge)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~$0.59 vs. cons $0.85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4.57</m:t>
              </m:r>
              <m:r>
                <m:rPr>
                  <m:sty m:val="p"/>
                </m:rPr>
                <m:t>−</m:t>
              </m:r>
            </m:oMath>
            <w:r>
              <w:t xml:space="preserve">4.72 (midpoint $4.65) vs. cons $4.66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CT/NH storm-cost securitization proceeds estimate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2.0B guided estimate (next 12-18 months)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CAGR off 2026 base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~5-7% (upper half by 2028) vs. cons ~6%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-1.7% (FADE)</w:t>
            </w:r>
          </w:p>
        </w:tc>
        <w:tc>
          <w:tcPr/>
          <w:p>
            <w:pPr>
              <w:pStyle w:val="Compact"/>
            </w:pPr>
            <w:r>
              <w:t xml:space="preserve">Stock is near 52-week highs pricing in resolution of overhangs; a slight non-GAAP beat and reaffirmed guidance is unlikely to spark upside since the CT PURA storm-cost decision (already public a day before earnings) trimmed ~$500M of recoverable carrying charges/securitization proceeds versus prior company guidance, and FERC ROE settlement remains unresolved. As analysts update models for the lower CT securitization base, extended CL&amp;P rate-case risk, and the structural EPS step-down from the Aquarion divestiture, modest downward estimate revisions for 2027 EPS bases are likely over the following days, pulling the stock back from its highs even absent a headline miss - a 'sell the news' fade rather than a durable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2026-07-30T00:36:03Z</dcterms:created>
  <dcterms:modified xsi:type="dcterms:W3CDTF">2026-07-30T00:36:03Z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