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recurring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~$0.96 vs. cons $0.94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~$3.05B vs. cons $2.98B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Parent and Other loss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82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80M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recurring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~$4.645 vs. cons $4.65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recurring EPS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vs. cons 6.0% (2026-2030 CAGR)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Planned common-equity issuance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~$0.95B vs. cons $0.95B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Storm-securitization proceeds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~$1.39B vs. cons $1.40B (next 12-18 months)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Prospective New England transmission base ROE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~11.39% vs. cons 11.39% (expected by December 2026, subject to refund)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(STABILIZE)</w:t>
            </w:r>
          </w:p>
        </w:tc>
        <w:tc>
          <w:tcPr/>
          <w:p>
            <w:pPr>
              <w:pStyle w:val="Compact"/>
            </w:pPr>
            <w:r>
              <w:t xml:space="preserve">day-5 residual ~0.6% vs. day-1 residual 0.8%; a modest EPS beat and unchanged FY2026 guidance support the shares, but unchanged out-period growth, persistent parent-company drag and unresolved FERC/rate-case risks limit estimate revisions and broader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2026-07-29T19:51:47Z</dcterms:created>
  <dcterms:modified xsi:type="dcterms:W3CDTF">2026-07-29T19:51:47Z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