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0ed4c184ac6c63cf120146c172ea3d3ac2f02b"/>
    <w:p>
      <w:pPr>
        <w:pStyle w:val="Heading1"/>
      </w:pPr>
      <w:r>
        <w:t xml:space="preserve">Eversource Energy (NYSE: ES) — 2Q26 Earnings Preview</w:t>
      </w:r>
    </w:p>
    <w:p>
      <w:pPr>
        <w:pStyle w:val="FirstParagraph"/>
      </w:pPr>
      <w:r>
        <w:rPr>
          <w:b/>
          <w:bCs/>
        </w:rPr>
        <w:t xml:space="preserve">Report timing:</w:t>
      </w:r>
      <w:r>
        <w:t xml:space="preserve"> </w:t>
      </w:r>
      <w:r>
        <w:t xml:space="preserve">Thursday,</w:t>
      </w:r>
      <w:r>
        <w:t xml:space="preserve"> </w:t>
      </w:r>
      <w:r>
        <w:rPr>
          <w:b/>
          <w:bCs/>
        </w:rPr>
        <w:t xml:space="preserve">July 30, 2026</w:t>
      </w:r>
      <w:r>
        <w:t xml:space="preserve">, after the market closes</w:t>
      </w:r>
      <w:r>
        <w:br/>
      </w:r>
      <w:r>
        <w:rPr>
          <w:b/>
          <w:bCs/>
        </w:rPr>
        <w:t xml:space="preserve">Conference call:</w:t>
      </w:r>
      <w:r>
        <w:t xml:space="preserve"> </w:t>
      </w:r>
      <w:r>
        <w:t xml:space="preserve">Friday,</w:t>
      </w:r>
      <w:r>
        <w:t xml:space="preserve"> </w:t>
      </w:r>
      <w:r>
        <w:rPr>
          <w:b/>
          <w:bCs/>
        </w:rPr>
        <w:t xml:space="preserve">July 31, 2026</w:t>
      </w:r>
      <w:r>
        <w:t xml:space="preserve">, at 9:00 a.m. ET</w:t>
      </w:r>
    </w:p>
    <w:p>
      <w:pPr>
        <w:pStyle w:val="BlockText"/>
      </w:pPr>
      <w:r>
        <w:t xml:space="preserve">The July 30 event is the earnings release; Eversource’s conference call is scheduled for the following morning.</w:t>
      </w:r>
    </w:p>
    <w:bookmarkStart w:id="9" w:name="investment-setup"/>
    <w:p>
      <w:pPr>
        <w:pStyle w:val="Heading2"/>
      </w:pPr>
      <w:r>
        <w:t xml:space="preserve">Investment setup</w:t>
      </w:r>
    </w:p>
    <w:p>
      <w:pPr>
        <w:pStyle w:val="FirstParagraph"/>
      </w:pPr>
      <w:r>
        <w:t xml:space="preserve">Eversource enters the report having completed a major portfolio simplification, but with several regulatory matters still capable of materially changing the earnings and balance-sheet outlook.</w:t>
      </w:r>
    </w:p>
    <w:p>
      <w:pPr>
        <w:pStyle w:val="BodyText"/>
      </w:pPr>
      <w:r>
        <w:t xml:space="preserve">The central question is not whether quarterly EPS beats or misses by a few cents. Investors will focus on whether management can:</w:t>
      </w:r>
    </w:p>
    <w:p>
      <w:pPr>
        <w:pStyle w:val="Compact"/>
        <w:numPr>
          <w:ilvl w:val="0"/>
          <w:numId w:val="1001"/>
        </w:numPr>
      </w:pPr>
      <w:r>
        <w:t xml:space="preserve">Reaffirm</w:t>
      </w:r>
      <w:r>
        <w:t xml:space="preserve"> </w:t>
      </w:r>
      <w:r>
        <w:rPr>
          <w:b/>
          <w:bCs/>
        </w:rPr>
        <w:t xml:space="preserve">2026 recurring EPS guidance of</w:t>
      </w:r>
      <w:r>
        <w:rPr>
          <w:b/>
          <w:bCs/>
        </w:rPr>
        <w:t xml:space="preserve"> </w:t>
      </w:r>
      <m:oMath>
        <m:r>
          <m:t>4.57</m:t>
        </m:r>
        <m:r>
          <m:rPr>
            <m:sty m:val="p"/>
          </m:rPr>
          <m:t>–</m:t>
        </m:r>
      </m:oMath>
      <w:r>
        <w:rPr>
          <w:b/>
          <w:bCs/>
        </w:rPr>
        <w:t xml:space="preserve">4.72</w:t>
      </w:r>
      <w:r>
        <w:t xml:space="preserve">;</w:t>
      </w:r>
    </w:p>
    <w:p>
      <w:pPr>
        <w:pStyle w:val="Compact"/>
        <w:numPr>
          <w:ilvl w:val="0"/>
          <w:numId w:val="1001"/>
        </w:numPr>
      </w:pPr>
      <w:r>
        <w:t xml:space="preserve">Translate the completed Aquarion sale into visible debt reduction and improved credit metrics;</w:t>
      </w:r>
    </w:p>
    <w:p>
      <w:pPr>
        <w:pStyle w:val="Compact"/>
        <w:numPr>
          <w:ilvl w:val="0"/>
          <w:numId w:val="1001"/>
        </w:numPr>
      </w:pPr>
      <w:r>
        <w:t xml:space="preserve">Provide a constructive update on the New England transmission ROE dispute;</w:t>
      </w:r>
    </w:p>
    <w:p>
      <w:pPr>
        <w:pStyle w:val="Compact"/>
        <w:numPr>
          <w:ilvl w:val="0"/>
          <w:numId w:val="1001"/>
        </w:numPr>
      </w:pPr>
      <w:r>
        <w:t xml:space="preserve">Advance recovery and securitization of roughly $2 billion of deferred storm costs and carrying charges; and</w:t>
      </w:r>
    </w:p>
    <w:p>
      <w:pPr>
        <w:pStyle w:val="Compact"/>
        <w:numPr>
          <w:ilvl w:val="0"/>
          <w:numId w:val="1001"/>
        </w:numPr>
      </w:pPr>
      <w:r>
        <w:t xml:space="preserve">Preserve the</w:t>
      </w:r>
      <w:r>
        <w:t xml:space="preserve"> </w:t>
      </w:r>
      <w:r>
        <w:rPr>
          <w:b/>
          <w:bCs/>
        </w:rPr>
        <w:t xml:space="preserve">5%–7% long-term EPS growth target</w:t>
      </w:r>
      <w:r>
        <w:t xml:space="preserve"> </w:t>
      </w:r>
      <w:r>
        <w:t xml:space="preserve">without requiring more equity than previously planned.</w:t>
      </w:r>
    </w:p>
    <w:p>
      <w:pPr>
        <w:pStyle w:val="FirstParagraph"/>
      </w:pPr>
      <w:r>
        <w:t xml:space="preserve">At the July 29 close of</w:t>
      </w:r>
      <w:r>
        <w:t xml:space="preserve"> </w:t>
      </w:r>
      <w:r>
        <w:rPr>
          <w:b/>
          <w:bCs/>
        </w:rPr>
        <w:t xml:space="preserve">$74.31</w:t>
      </w:r>
      <w:r>
        <w:t xml:space="preserve">, ES trades at approximately</w:t>
      </w:r>
      <w:r>
        <w:t xml:space="preserve"> </w:t>
      </w:r>
      <w:r>
        <w:rPr>
          <w:b/>
          <w:bCs/>
        </w:rPr>
        <w:t xml:space="preserve">16.0x</w:t>
      </w:r>
      <w:r>
        <w:t xml:space="preserve"> </w:t>
      </w:r>
      <w:r>
        <w:t xml:space="preserve">the $4.645 midpoint of 2026 guidance. Its current $3.15 annualized dividend implies a yield of roughly</w:t>
      </w:r>
      <w:r>
        <w:t xml:space="preserve"> </w:t>
      </w:r>
      <w:r>
        <w:rPr>
          <w:b/>
          <w:bCs/>
        </w:rPr>
        <w:t xml:space="preserve">4.2%</w:t>
      </w:r>
      <w:r>
        <w:t xml:space="preserve">. The shares are up about</w:t>
      </w:r>
      <w:r>
        <w:t xml:space="preserve"> </w:t>
      </w:r>
      <w:r>
        <w:rPr>
          <w:b/>
          <w:bCs/>
        </w:rPr>
        <w:t xml:space="preserve">10.4% year to date</w:t>
      </w:r>
      <w:r>
        <w:t xml:space="preserve">, versus approximately</w:t>
      </w:r>
      <w:r>
        <w:t xml:space="preserve"> </w:t>
      </w:r>
      <w:r>
        <w:rPr>
          <w:b/>
          <w:bCs/>
        </w:rPr>
        <w:t xml:space="preserve">5.0%</w:t>
      </w:r>
      <w:r>
        <w:t xml:space="preserve"> </w:t>
      </w:r>
      <w:r>
        <w:t xml:space="preserve">for the Utilities Select Sector SPDR Fund, so expectations are no longer especially depressed.</w:t>
      </w:r>
    </w:p>
    <w:bookmarkEnd w:id="9"/>
    <w:bookmarkStart w:id="10" w:name="key-financial-benchmarks"/>
    <w:p>
      <w:pPr>
        <w:pStyle w:val="Heading2"/>
      </w:pPr>
      <w:r>
        <w:t xml:space="preserve">Key financial benchmarks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benchmark</w:t>
            </w:r>
          </w:p>
        </w:tc>
      </w:tr>
      <w:tr>
        <w:tc>
          <w:tcPr/>
          <w:p>
            <w:pPr>
              <w:pStyle w:val="Compact"/>
            </w:pPr>
            <w:r>
              <w:t xml:space="preserve">2026 recurring EPS guidance</w:t>
            </w:r>
          </w:p>
        </w:tc>
        <w:tc>
          <w:tcPr/>
          <w:p>
            <w:pPr>
              <w:pStyle w:val="Compact"/>
              <w:jc w:val="right"/>
            </w:pPr>
            <m:oMath>
              <m:r>
                <m:t>4.57</m:t>
              </m:r>
              <m:r>
                <m:rPr>
                  <m:sty m:val="p"/>
                </m:rPr>
                <m:t>–</m:t>
              </m:r>
            </m:oMath>
            <w:r>
              <w:rPr>
                <w:b/>
                <w:bCs/>
              </w:rPr>
              <w:t xml:space="preserve">4.72</w:t>
            </w:r>
          </w:p>
        </w:tc>
      </w:tr>
      <w:tr>
        <w:tc>
          <w:tcPr/>
          <w:p>
            <w:pPr>
              <w:pStyle w:val="Compact"/>
            </w:pPr>
            <w:r>
              <w:t xml:space="preserve">Guidance midpoint</w:t>
            </w:r>
          </w:p>
        </w:tc>
        <w:tc>
          <w:tcPr/>
          <w:p>
            <w:pPr>
              <w:pStyle w:val="Compact"/>
              <w:jc w:val="right"/>
            </w:pPr>
            <w:r>
              <w:rPr>
                <w:b/>
                <w:bCs/>
              </w:rPr>
              <w:t xml:space="preserve">$4.645</w:t>
            </w:r>
          </w:p>
        </w:tc>
      </w:tr>
      <w:tr>
        <w:tc>
          <w:tcPr/>
          <w:p>
            <w:pPr>
              <w:pStyle w:val="Compact"/>
            </w:pPr>
            <w:r>
              <w:t xml:space="preserve">Long-term EPS growth</w:t>
            </w:r>
          </w:p>
        </w:tc>
        <w:tc>
          <w:tcPr/>
          <w:p>
            <w:pPr>
              <w:pStyle w:val="Compact"/>
              <w:jc w:val="right"/>
            </w:pPr>
            <w:r>
              <w:rPr>
                <w:b/>
                <w:bCs/>
              </w:rPr>
              <w:t xml:space="preserve">5%–7% through 2030</w:t>
            </w:r>
          </w:p>
        </w:tc>
      </w:tr>
      <w:tr>
        <w:tc>
          <w:tcPr/>
          <w:p>
            <w:pPr>
              <w:pStyle w:val="Compact"/>
            </w:pPr>
            <w:r>
              <w:t xml:space="preserve">Expected growth trajectory</w:t>
            </w:r>
          </w:p>
        </w:tc>
        <w:tc>
          <w:tcPr/>
          <w:p>
            <w:pPr>
              <w:pStyle w:val="Compact"/>
              <w:jc w:val="right"/>
            </w:pPr>
            <w:r>
              <w:t xml:space="preserve">Toward upper half of range by 2028</w:t>
            </w:r>
          </w:p>
        </w:tc>
      </w:tr>
      <w:tr>
        <w:tc>
          <w:tcPr/>
          <w:p>
            <w:pPr>
              <w:pStyle w:val="Compact"/>
            </w:pPr>
            <w:r>
              <w:t xml:space="preserve">1Q26 recurring EPS</w:t>
            </w:r>
          </w:p>
        </w:tc>
        <w:tc>
          <w:tcPr/>
          <w:p>
            <w:pPr>
              <w:pStyle w:val="Compact"/>
              <w:jc w:val="right"/>
            </w:pPr>
            <w:r>
              <w:rPr>
                <w:b/>
                <w:bCs/>
              </w:rPr>
              <w:t xml:space="preserve">$1.73</w:t>
            </w:r>
          </w:p>
        </w:tc>
      </w:tr>
      <w:tr>
        <w:tc>
          <w:tcPr/>
          <w:p>
            <w:pPr>
              <w:pStyle w:val="Compact"/>
            </w:pPr>
            <w:r>
              <w:t xml:space="preserve">2Q25 EPS</w:t>
            </w:r>
          </w:p>
        </w:tc>
        <w:tc>
          <w:tcPr/>
          <w:p>
            <w:pPr>
              <w:pStyle w:val="Compact"/>
              <w:jc w:val="right"/>
            </w:pPr>
            <w:r>
              <w:rPr>
                <w:b/>
                <w:bCs/>
              </w:rPr>
              <w:t xml:space="preserve">$0.96</w:t>
            </w:r>
          </w:p>
        </w:tc>
      </w:tr>
      <w:tr>
        <w:tc>
          <w:tcPr/>
          <w:p>
            <w:pPr>
              <w:pStyle w:val="Compact"/>
            </w:pPr>
            <w:r>
              <w:t xml:space="preserve">2026 capital spending plan</w:t>
            </w:r>
          </w:p>
        </w:tc>
        <w:tc>
          <w:tcPr/>
          <w:p>
            <w:pPr>
              <w:pStyle w:val="Compact"/>
              <w:jc w:val="right"/>
            </w:pPr>
            <w:r>
              <w:rPr>
                <w:b/>
                <w:bCs/>
              </w:rPr>
              <w:t xml:space="preserve">$5.1 billion</w:t>
            </w:r>
          </w:p>
        </w:tc>
      </w:tr>
      <w:tr>
        <w:tc>
          <w:tcPr/>
          <w:p>
            <w:pPr>
              <w:pStyle w:val="Compact"/>
            </w:pPr>
            <w:r>
              <w:t xml:space="preserve">2026–2030 capital plan</w:t>
            </w:r>
          </w:p>
        </w:tc>
        <w:tc>
          <w:tcPr/>
          <w:p>
            <w:pPr>
              <w:pStyle w:val="Compact"/>
              <w:jc w:val="right"/>
            </w:pPr>
            <w:r>
              <w:rPr>
                <w:b/>
                <w:bCs/>
              </w:rPr>
              <w:t xml:space="preserve">$26.5 billion</w:t>
            </w:r>
          </w:p>
        </w:tc>
      </w:tr>
      <w:tr>
        <w:tc>
          <w:tcPr/>
          <w:p>
            <w:pPr>
              <w:pStyle w:val="Compact"/>
            </w:pPr>
            <w:r>
              <w:t xml:space="preserve">Planned equity through 2030</w:t>
            </w:r>
          </w:p>
        </w:tc>
        <w:tc>
          <w:tcPr/>
          <w:p>
            <w:pPr>
              <w:pStyle w:val="Compact"/>
              <w:jc w:val="right"/>
            </w:pPr>
            <m:oMath>
              <m:r>
                <m:t>800</m:t>
              </m:r>
              <m:r>
                <m:t>m</m:t>
              </m:r>
              <m:r>
                <m:t>i</m:t>
              </m:r>
              <m:r>
                <m:t>l</m:t>
              </m:r>
              <m:r>
                <m:t>l</m:t>
              </m:r>
              <m:r>
                <m:t>i</m:t>
              </m:r>
              <m:r>
                <m:t>o</m:t>
              </m:r>
              <m:r>
                <m:t>n</m:t>
              </m:r>
              <m:r>
                <m:rPr>
                  <m:sty m:val="p"/>
                </m:rPr>
                <m:t>–</m:t>
              </m:r>
            </m:oMath>
            <w:r>
              <w:rPr>
                <w:b/>
                <w:bCs/>
              </w:rPr>
              <w:t xml:space="preserve">1.1 billion</w:t>
            </w:r>
          </w:p>
        </w:tc>
      </w:tr>
      <w:tr>
        <w:tc>
          <w:tcPr/>
          <w:p>
            <w:pPr>
              <w:pStyle w:val="Compact"/>
            </w:pPr>
            <w:r>
              <w:t xml:space="preserve">Quarterly dividend</w:t>
            </w:r>
          </w:p>
        </w:tc>
        <w:tc>
          <w:tcPr/>
          <w:p>
            <w:pPr>
              <w:pStyle w:val="Compact"/>
              <w:jc w:val="right"/>
            </w:pPr>
            <w:r>
              <w:rPr>
                <w:b/>
                <w:bCs/>
              </w:rPr>
              <w:t xml:space="preserve">$0.7875 per share</w:t>
            </w:r>
          </w:p>
        </w:tc>
      </w:tr>
    </w:tbl>
    <w:p>
      <w:pPr>
        <w:pStyle w:val="BodyText"/>
      </w:pPr>
      <w:r>
        <w:t xml:space="preserve">Eversource produced</w:t>
      </w:r>
      <w:r>
        <w:t xml:space="preserve"> </w:t>
      </w:r>
      <m:oMath>
        <m:r>
          <m:t>1.73</m:t>
        </m:r>
        <m:r>
          <m:t>o</m:t>
        </m:r>
        <m:r>
          <m:t>f</m:t>
        </m:r>
        <m:r>
          <m:t>r</m:t>
        </m:r>
        <m:r>
          <m:t>e</m:t>
        </m:r>
        <m:r>
          <m:t>c</m:t>
        </m:r>
        <m:r>
          <m:t>u</m:t>
        </m:r>
        <m:r>
          <m:t>r</m:t>
        </m:r>
        <m:r>
          <m:t>r</m:t>
        </m:r>
        <m:r>
          <m:t>i</m:t>
        </m:r>
        <m:r>
          <m:t>n</m:t>
        </m:r>
        <m:r>
          <m:t>g</m:t>
        </m:r>
        <m:r>
          <m:t>E</m:t>
        </m:r>
        <m:r>
          <m:t>P</m:t>
        </m:r>
        <m:r>
          <m:t>S</m:t>
        </m:r>
        <m:r>
          <m:t>i</m:t>
        </m:r>
        <m:r>
          <m:t>n</m:t>
        </m:r>
        <m:r>
          <m:t>t</m:t>
        </m:r>
        <m:r>
          <m:t>h</m:t>
        </m:r>
        <m:r>
          <m:t>e</m:t>
        </m:r>
        <m:r>
          <m:t>f</m:t>
        </m:r>
        <m:r>
          <m:t>i</m:t>
        </m:r>
        <m:r>
          <m:t>r</m:t>
        </m:r>
        <m:r>
          <m:t>s</m:t>
        </m:r>
        <m:r>
          <m:t>t</m:t>
        </m:r>
        <m:r>
          <m:t>q</m:t>
        </m:r>
        <m:r>
          <m:t>u</m:t>
        </m:r>
        <m:r>
          <m:t>a</m:t>
        </m:r>
        <m:r>
          <m:t>r</m:t>
        </m:r>
        <m:r>
          <m:t>t</m:t>
        </m:r>
        <m:r>
          <m:t>e</m:t>
        </m:r>
        <m:r>
          <m:t>r</m:t>
        </m:r>
        <m:r>
          <m:rPr>
            <m:sty m:val="p"/>
          </m:rPr>
          <m:t>.</m:t>
        </m:r>
        <m:r>
          <m:t>T</m:t>
        </m:r>
        <m:r>
          <m:t>o</m:t>
        </m:r>
        <m:r>
          <m:t>r</m:t>
        </m:r>
        <m:r>
          <m:t>e</m:t>
        </m:r>
        <m:r>
          <m:t>a</m:t>
        </m:r>
        <m:r>
          <m:t>c</m:t>
        </m:r>
        <m:r>
          <m:t>h</m:t>
        </m:r>
        <m:r>
          <m:t>f</m:t>
        </m:r>
        <m:r>
          <m:t>u</m:t>
        </m:r>
        <m:r>
          <m:t>l</m:t>
        </m:r>
        <m:r>
          <m:t>l</m:t>
        </m:r>
        <m:r>
          <m:rPr>
            <m:sty m:val="p"/>
          </m:rPr>
          <m:t>−</m:t>
        </m:r>
        <m:r>
          <m:t>y</m:t>
        </m:r>
        <m:r>
          <m:t>e</m:t>
        </m:r>
        <m:r>
          <m:t>a</m:t>
        </m:r>
        <m:r>
          <m:t>r</m:t>
        </m:r>
        <m:r>
          <m:t>g</m:t>
        </m:r>
        <m:r>
          <m:t>u</m:t>
        </m:r>
        <m:r>
          <m:t>i</m:t>
        </m:r>
        <m:r>
          <m:t>d</m:t>
        </m:r>
        <m:r>
          <m:t>a</m:t>
        </m:r>
        <m:r>
          <m:t>n</m:t>
        </m:r>
        <m:r>
          <m:t>c</m:t>
        </m:r>
        <m:r>
          <m:t>e</m:t>
        </m:r>
        <m:r>
          <m:rPr>
            <m:sty m:val="p"/>
          </m:rPr>
          <m:t>,</m:t>
        </m:r>
        <m:r>
          <m:t>i</m:t>
        </m:r>
        <m:r>
          <m:t>t</m:t>
        </m:r>
        <m:r>
          <m:t>m</m:t>
        </m:r>
        <m:r>
          <m:t>u</m:t>
        </m:r>
        <m:r>
          <m:t>s</m:t>
        </m:r>
        <m:r>
          <m:t>t</m:t>
        </m:r>
        <m:r>
          <m:t>g</m:t>
        </m:r>
        <m:r>
          <m:t>e</m:t>
        </m:r>
        <m:r>
          <m:t>n</m:t>
        </m:r>
        <m:r>
          <m:t>e</m:t>
        </m:r>
        <m:r>
          <m:t>r</m:t>
        </m:r>
        <m:r>
          <m:t>a</m:t>
        </m:r>
        <m:r>
          <m:t>t</m:t>
        </m:r>
        <m:r>
          <m:t>e</m:t>
        </m:r>
        <m:r>
          <m:t>a</m:t>
        </m:r>
        <m:r>
          <m:t>n</m:t>
        </m:r>
        <m:r>
          <m:t>o</m:t>
        </m:r>
        <m:r>
          <m:t>t</m:t>
        </m:r>
        <m:r>
          <m:t>h</m:t>
        </m:r>
        <m:r>
          <m:t>e</m:t>
        </m:r>
        <m:r>
          <m:t>r</m:t>
        </m:r>
        <m:r>
          <m:rPr>
            <m:sty m:val="p"/>
          </m:rPr>
          <m:t>*</m:t>
        </m:r>
        <m:r>
          <m:rPr>
            <m:sty m:val="p"/>
          </m:rPr>
          <m:t>*</m:t>
        </m:r>
      </m:oMath>
      <w:r>
        <w:t xml:space="preserve">2.84–$2.99 per share** over the final three quarters. The second quarter is seasonally much weaker than the first because natural-gas earnings are concentrated in the heating season.</w:t>
      </w:r>
    </w:p>
    <w:bookmarkEnd w:id="10"/>
    <w:bookmarkStart w:id="13" w:name="what-to-expect-in-the-reported-numbers"/>
    <w:p>
      <w:pPr>
        <w:pStyle w:val="Heading2"/>
      </w:pPr>
      <w:r>
        <w:t xml:space="preserve">What to expect in the reported numbers</w:t>
      </w:r>
    </w:p>
    <w:bookmarkStart w:id="11" w:name="X465213449f2a7317a85b1db0d9f91fe3238117b"/>
    <w:p>
      <w:pPr>
        <w:pStyle w:val="Heading3"/>
      </w:pPr>
      <w:r>
        <w:t xml:space="preserve">Recurring operations should remain constructive</w:t>
      </w:r>
    </w:p>
    <w:p>
      <w:pPr>
        <w:pStyle w:val="FirstParagraph"/>
      </w:pPr>
      <w:r>
        <w:t xml:space="preserve">The principal year-over-year positives are:</w:t>
      </w:r>
    </w:p>
    <w:p>
      <w:pPr>
        <w:pStyle w:val="Compact"/>
        <w:numPr>
          <w:ilvl w:val="0"/>
          <w:numId w:val="1002"/>
        </w:numPr>
      </w:pPr>
      <w:r>
        <w:t xml:space="preserve">Rate increases at the Massachusetts and New Hampshire electric utilities;</w:t>
      </w:r>
    </w:p>
    <w:p>
      <w:pPr>
        <w:pStyle w:val="Compact"/>
        <w:numPr>
          <w:ilvl w:val="0"/>
          <w:numId w:val="1002"/>
        </w:numPr>
      </w:pPr>
      <w:r>
        <w:t xml:space="preserve">Gas rate increases across Eversource’s gas businesses, including the November 2025 Yankee Gas decision;</w:t>
      </w:r>
    </w:p>
    <w:p>
      <w:pPr>
        <w:pStyle w:val="Compact"/>
        <w:numPr>
          <w:ilvl w:val="0"/>
          <w:numId w:val="1002"/>
        </w:numPr>
      </w:pPr>
      <w:r>
        <w:t xml:space="preserve">Continued electric transmission and distribution rate-base investment; and</w:t>
      </w:r>
    </w:p>
    <w:p>
      <w:pPr>
        <w:pStyle w:val="Compact"/>
        <w:numPr>
          <w:ilvl w:val="0"/>
          <w:numId w:val="1002"/>
        </w:numPr>
      </w:pPr>
      <w:r>
        <w:t xml:space="preserve">Capital-tracker and other regulatory recovery mechanisms.</w:t>
      </w:r>
    </w:p>
    <w:p>
      <w:pPr>
        <w:pStyle w:val="FirstParagraph"/>
      </w:pPr>
      <w:r>
        <w:t xml:space="preserve">These benefits will likely be partly offset by:</w:t>
      </w:r>
    </w:p>
    <w:p>
      <w:pPr>
        <w:pStyle w:val="Compact"/>
        <w:numPr>
          <w:ilvl w:val="0"/>
          <w:numId w:val="1003"/>
        </w:numPr>
      </w:pPr>
      <w:r>
        <w:t xml:space="preserve">The transmission base ROE reduction from</w:t>
      </w:r>
      <w:r>
        <w:t xml:space="preserve"> </w:t>
      </w:r>
      <w:r>
        <w:rPr>
          <w:b/>
          <w:bCs/>
        </w:rPr>
        <w:t xml:space="preserve">10.57% to 9.57%</w:t>
      </w:r>
      <w:r>
        <w:t xml:space="preserve">;</w:t>
      </w:r>
    </w:p>
    <w:p>
      <w:pPr>
        <w:pStyle w:val="Compact"/>
        <w:numPr>
          <w:ilvl w:val="0"/>
          <w:numId w:val="1003"/>
        </w:numPr>
      </w:pPr>
      <w:r>
        <w:t xml:space="preserve">Higher interest expense;</w:t>
      </w:r>
    </w:p>
    <w:p>
      <w:pPr>
        <w:pStyle w:val="Compact"/>
        <w:numPr>
          <w:ilvl w:val="0"/>
          <w:numId w:val="1003"/>
        </w:numPr>
      </w:pPr>
      <w:r>
        <w:t xml:space="preserve">Higher depreciation, property taxes and operating costs;</w:t>
      </w:r>
    </w:p>
    <w:p>
      <w:pPr>
        <w:pStyle w:val="Compact"/>
        <w:numPr>
          <w:ilvl w:val="0"/>
          <w:numId w:val="1003"/>
        </w:numPr>
      </w:pPr>
      <w:r>
        <w:t xml:space="preserve">Parent-company financing costs; and</w:t>
      </w:r>
    </w:p>
    <w:p>
      <w:pPr>
        <w:pStyle w:val="Compact"/>
        <w:numPr>
          <w:ilvl w:val="0"/>
          <w:numId w:val="1003"/>
        </w:numPr>
      </w:pPr>
      <w:r>
        <w:t xml:space="preserve">Share-count dilution.</w:t>
      </w:r>
    </w:p>
    <w:p>
      <w:pPr>
        <w:pStyle w:val="FirstParagraph"/>
      </w:pPr>
      <w:r>
        <w:t xml:space="preserve">The first-quarter results showed this pattern clearly. Electric transmission earnings excluding the FERC charge rose $25 million year over year, electric distribution improved $14 million, and gas distribution increased $77 million. Parent and other losses, however, widened by $19 million.</w:t>
      </w:r>
    </w:p>
    <w:bookmarkEnd w:id="11"/>
    <w:bookmarkStart w:id="12" w:name="Xd8ab4a57452bfb3d1037e8a4c51d94eeb467dff"/>
    <w:p>
      <w:pPr>
        <w:pStyle w:val="Heading3"/>
      </w:pPr>
      <w:r>
        <w:t xml:space="preserve">GAAP earnings will be distorted by Aquarion</w:t>
      </w:r>
    </w:p>
    <w:p>
      <w:pPr>
        <w:pStyle w:val="FirstParagraph"/>
      </w:pPr>
      <w:r>
        <w:t xml:space="preserve">Eversource completed the</w:t>
      </w:r>
      <w:r>
        <w:t xml:space="preserve"> </w:t>
      </w:r>
      <m:oMath>
        <m:r>
          <m:t>2.4</m:t>
        </m:r>
        <m:r>
          <m:t>b</m:t>
        </m:r>
        <m:r>
          <m:t>i</m:t>
        </m:r>
        <m:r>
          <m:t>l</m:t>
        </m:r>
        <m:r>
          <m:t>l</m:t>
        </m:r>
        <m:r>
          <m:t>i</m:t>
        </m:r>
        <m:r>
          <m:t>o</m:t>
        </m:r>
        <m:r>
          <m:t>n</m:t>
        </m:r>
        <m:r>
          <m:t>s</m:t>
        </m:r>
        <m:r>
          <m:t>a</m:t>
        </m:r>
        <m:r>
          <m:t>l</m:t>
        </m:r>
        <m:r>
          <m:t>e</m:t>
        </m:r>
        <m:r>
          <m:t>o</m:t>
        </m:r>
        <m:r>
          <m:t>f</m:t>
        </m:r>
        <m:r>
          <m:t>A</m:t>
        </m:r>
        <m:r>
          <m:t>q</m:t>
        </m:r>
        <m:r>
          <m:t>u</m:t>
        </m:r>
        <m:r>
          <m:t>a</m:t>
        </m:r>
        <m:r>
          <m:t>r</m:t>
        </m:r>
        <m:r>
          <m:t>i</m:t>
        </m:r>
        <m:r>
          <m:t>o</m:t>
        </m:r>
        <m:r>
          <m:t>n</m:t>
        </m:r>
        <m:r>
          <m:t>W</m:t>
        </m:r>
        <m:r>
          <m:t>a</m:t>
        </m:r>
        <m:r>
          <m:t>t</m:t>
        </m:r>
        <m:r>
          <m:t>e</m:t>
        </m:r>
        <m:r>
          <m:t>r</m:t>
        </m:r>
        <m:r>
          <m:t>o</m:t>
        </m:r>
        <m:r>
          <m:t>n</m:t>
        </m:r>
        <m:r>
          <m:rPr>
            <m:sty m:val="p"/>
          </m:rPr>
          <m:t>*</m:t>
        </m:r>
        <m:r>
          <m:rPr>
            <m:sty m:val="p"/>
          </m:rPr>
          <m:t>*</m:t>
        </m:r>
        <m:r>
          <m:t>J</m:t>
        </m:r>
        <m:r>
          <m:t>u</m:t>
        </m:r>
        <m:r>
          <m:t>n</m:t>
        </m:r>
        <m:r>
          <m:t>e</m:t>
        </m:r>
        <m:r>
          <m:t>30</m:t>
        </m:r>
        <m:r>
          <m:rPr>
            <m:sty m:val="p"/>
          </m:rPr>
          <m:t>*</m:t>
        </m:r>
        <m:r>
          <m:rPr>
            <m:sty m:val="p"/>
          </m:rPr>
          <m:t>*</m:t>
        </m:r>
        <m:r>
          <m:rPr>
            <m:sty m:val="p"/>
          </m:rPr>
          <m:t>.</m:t>
        </m:r>
        <m:r>
          <m:t>T</m:t>
        </m:r>
        <m:r>
          <m:t>h</m:t>
        </m:r>
        <m:r>
          <m:t>e</m:t>
        </m:r>
        <m:r>
          <m:t>c</m:t>
        </m:r>
        <m:r>
          <m:t>o</m:t>
        </m:r>
        <m:r>
          <m:t>m</m:t>
        </m:r>
        <m:r>
          <m:t>p</m:t>
        </m:r>
        <m:r>
          <m:t>a</m:t>
        </m:r>
        <m:r>
          <m:t>n</m:t>
        </m:r>
        <m:r>
          <m:t>y</m:t>
        </m:r>
        <m:r>
          <m:t>e</m:t>
        </m:r>
        <m:r>
          <m:t>x</m:t>
        </m:r>
        <m:r>
          <m:t>p</m:t>
        </m:r>
        <m:r>
          <m:t>e</m:t>
        </m:r>
        <m:r>
          <m:t>c</m:t>
        </m:r>
        <m:r>
          <m:t>t</m:t>
        </m:r>
        <m:r>
          <m:t>s</m:t>
        </m:r>
        <m:r>
          <m:t>t</m:t>
        </m:r>
        <m:r>
          <m:t>o</m:t>
        </m:r>
        <m:r>
          <m:t>r</m:t>
        </m:r>
        <m:r>
          <m:t>e</m:t>
        </m:r>
        <m:r>
          <m:t>c</m:t>
        </m:r>
        <m:r>
          <m:t>o</m:t>
        </m:r>
        <m:r>
          <m:t>r</m:t>
        </m:r>
        <m:r>
          <m:t>d</m:t>
        </m:r>
        <m:r>
          <m:t>a</m:t>
        </m:r>
        <m:r>
          <m:t>n</m:t>
        </m:r>
        <m:r>
          <m:t>a</m:t>
        </m:r>
        <m:r>
          <m:t>p</m:t>
        </m:r>
        <m:r>
          <m:t>p</m:t>
        </m:r>
        <m:r>
          <m:t>r</m:t>
        </m:r>
        <m:r>
          <m:t>o</m:t>
        </m:r>
        <m:r>
          <m:t>x</m:t>
        </m:r>
        <m:r>
          <m:t>i</m:t>
        </m:r>
        <m:r>
          <m:t>m</m:t>
        </m:r>
        <m:r>
          <m:t>a</m:t>
        </m:r>
        <m:r>
          <m:t>t</m:t>
        </m:r>
        <m:r>
          <m:t>e</m:t>
        </m:r>
        <m:r>
          <m:t>l</m:t>
        </m:r>
        <m:r>
          <m:t>y</m:t>
        </m:r>
        <m:r>
          <m:rPr>
            <m:sty m:val="p"/>
          </m:rPr>
          <m:t>*</m:t>
        </m:r>
        <m:r>
          <m:rPr>
            <m:sty m:val="p"/>
          </m:rPr>
          <m:t>*</m:t>
        </m:r>
      </m:oMath>
      <w:r>
        <w:t xml:space="preserve">115 million after-tax, noncash charge**, equivalent to</w:t>
      </w:r>
      <w:r>
        <w:t xml:space="preserve"> </w:t>
      </w:r>
      <w:r>
        <w:rPr>
          <w:b/>
          <w:bCs/>
        </w:rPr>
        <w:t xml:space="preserve">$0.31 per share</w:t>
      </w:r>
      <w:r>
        <w:t xml:space="preserve">, in the second quarter.</w:t>
      </w:r>
    </w:p>
    <w:p>
      <w:pPr>
        <w:pStyle w:val="BodyText"/>
      </w:pPr>
      <w:r>
        <w:t xml:space="preserve">Investors should therefore prioritize:</w:t>
      </w:r>
    </w:p>
    <w:p>
      <w:pPr>
        <w:pStyle w:val="Compact"/>
        <w:numPr>
          <w:ilvl w:val="0"/>
          <w:numId w:val="1004"/>
        </w:numPr>
      </w:pPr>
      <w:r>
        <w:t xml:space="preserve">Recurring EPS;</w:t>
      </w:r>
    </w:p>
    <w:p>
      <w:pPr>
        <w:pStyle w:val="Compact"/>
        <w:numPr>
          <w:ilvl w:val="0"/>
          <w:numId w:val="1004"/>
        </w:numPr>
      </w:pPr>
      <w:r>
        <w:t xml:space="preserve">Segment earnings;</w:t>
      </w:r>
    </w:p>
    <w:p>
      <w:pPr>
        <w:pStyle w:val="Compact"/>
        <w:numPr>
          <w:ilvl w:val="0"/>
          <w:numId w:val="1004"/>
        </w:numPr>
      </w:pPr>
      <w:r>
        <w:t xml:space="preserve">Operating cash flow;</w:t>
      </w:r>
    </w:p>
    <w:p>
      <w:pPr>
        <w:pStyle w:val="Compact"/>
        <w:numPr>
          <w:ilvl w:val="0"/>
          <w:numId w:val="1004"/>
        </w:numPr>
      </w:pPr>
      <w:r>
        <w:t xml:space="preserve">Debt reduction; and</w:t>
      </w:r>
    </w:p>
    <w:p>
      <w:pPr>
        <w:pStyle w:val="Compact"/>
        <w:numPr>
          <w:ilvl w:val="0"/>
          <w:numId w:val="1004"/>
        </w:numPr>
      </w:pPr>
      <w:r>
        <w:t xml:space="preserve">Updated credit metrics.</w:t>
      </w:r>
    </w:p>
    <w:p>
      <w:pPr>
        <w:pStyle w:val="FirstParagraph"/>
      </w:pPr>
      <w:r>
        <w:t xml:space="preserve">A weak GAAP comparison driven by the sale charge should not, by itself, be interpreted as operating deterioration. Aquarion’s operating contribution should largely remain in the second-quarter results because the transaction closed on the quarter’s final day, but it will be absent thereafter.</w:t>
      </w:r>
    </w:p>
    <w:bookmarkEnd w:id="12"/>
    <w:bookmarkEnd w:id="13"/>
    <w:bookmarkStart w:id="19" w:name="the-five-issues-that-matter-most"/>
    <w:p>
      <w:pPr>
        <w:pStyle w:val="Heading2"/>
      </w:pPr>
      <w:r>
        <w:t xml:space="preserve">The five issues that matter most</w:t>
      </w:r>
    </w:p>
    <w:bookmarkStart w:id="14" w:name="Xd54144d0650d1aa12884d2ae487262314a70dfa"/>
    <w:p>
      <w:pPr>
        <w:pStyle w:val="Heading3"/>
      </w:pPr>
      <w:r>
        <w:t xml:space="preserve">1. Is 2026 guidance still secure?</w:t>
      </w:r>
    </w:p>
    <w:p>
      <w:pPr>
        <w:pStyle w:val="FirstParagraph"/>
      </w:pPr>
      <w:r>
        <w:t xml:space="preserve">Management’s</w:t>
      </w:r>
      <w:r>
        <w:t xml:space="preserve"> </w:t>
      </w:r>
      <m:oMath>
        <m:r>
          <m:t>4.57</m:t>
        </m:r>
        <m:r>
          <m:rPr>
            <m:sty m:val="p"/>
          </m:rPr>
          <m:t>–</m:t>
        </m:r>
      </m:oMath>
      <w:r>
        <w:t xml:space="preserve">4.72 recurring EPS range already incorporates:</w:t>
      </w:r>
    </w:p>
    <w:p>
      <w:pPr>
        <w:pStyle w:val="Compact"/>
        <w:numPr>
          <w:ilvl w:val="0"/>
          <w:numId w:val="1005"/>
        </w:numPr>
      </w:pPr>
      <w:r>
        <w:t xml:space="preserve">The prospective earnings impact of the lower 9.57% transmission ROE; and</w:t>
      </w:r>
    </w:p>
    <w:p>
      <w:pPr>
        <w:pStyle w:val="Compact"/>
        <w:numPr>
          <w:ilvl w:val="0"/>
          <w:numId w:val="1005"/>
        </w:numPr>
      </w:pPr>
      <w:r>
        <w:t xml:space="preserve">The absence of Aquarion earnings following the sale.</w:t>
      </w:r>
    </w:p>
    <w:p>
      <w:pPr>
        <w:pStyle w:val="FirstParagraph"/>
      </w:pPr>
      <w:r>
        <w:t xml:space="preserve">That makes a guidance reaffirmation the base case. A reiteration accompanied by language that results are tracking near the midpoint or upper half would be positive. Any move toward the low end would raise questions about parent-company expense, regulatory timing or incremental dilution.</w:t>
      </w:r>
    </w:p>
    <w:p>
      <w:pPr>
        <w:pStyle w:val="BodyText"/>
      </w:pPr>
      <w:r>
        <w:t xml:space="preserve">Investors should also distinguish between a guidance change caused by operating performance and one caused by a new regulatory or accounting item.</w:t>
      </w:r>
    </w:p>
    <w:bookmarkEnd w:id="14"/>
    <w:bookmarkStart w:id="15" w:name="X66fafdbbfae2fc54ad88b7dbd6d5faf0ddaf1b1"/>
    <w:p>
      <w:pPr>
        <w:pStyle w:val="Heading3"/>
      </w:pPr>
      <w:r>
        <w:t xml:space="preserve">2. Has Aquarion materially improved the balance sheet?</w:t>
      </w:r>
    </w:p>
    <w:p>
      <w:pPr>
        <w:pStyle w:val="FirstParagraph"/>
      </w:pPr>
      <w:r>
        <w:t xml:space="preserve">The sale generated approximately</w:t>
      </w:r>
      <w:r>
        <w:t xml:space="preserve"> </w:t>
      </w:r>
      <w:r>
        <w:rPr>
          <w:b/>
          <w:bCs/>
        </w:rPr>
        <w:t xml:space="preserve">$1.7 billion of adjusted net equity proceeds</w:t>
      </w:r>
      <w:r>
        <w:t xml:space="preserve">, which Eversource intends to use to displace debt. This was one of the company’s principal balance-sheet commitments.</w:t>
      </w:r>
    </w:p>
    <w:p>
      <w:pPr>
        <w:pStyle w:val="BodyText"/>
      </w:pPr>
      <w:r>
        <w:t xml:space="preserve">The report should clarify:</w:t>
      </w:r>
    </w:p>
    <w:p>
      <w:pPr>
        <w:pStyle w:val="Compact"/>
        <w:numPr>
          <w:ilvl w:val="0"/>
          <w:numId w:val="1006"/>
        </w:numPr>
      </w:pPr>
      <w:r>
        <w:t xml:space="preserve">How much debt has already been repaid;</w:t>
      </w:r>
    </w:p>
    <w:p>
      <w:pPr>
        <w:pStyle w:val="Compact"/>
        <w:numPr>
          <w:ilvl w:val="0"/>
          <w:numId w:val="1006"/>
        </w:numPr>
      </w:pPr>
      <w:r>
        <w:t xml:space="preserve">Whether the debt reduction is primarily at the parent;</w:t>
      </w:r>
    </w:p>
    <w:p>
      <w:pPr>
        <w:pStyle w:val="Compact"/>
        <w:numPr>
          <w:ilvl w:val="0"/>
          <w:numId w:val="1006"/>
        </w:numPr>
      </w:pPr>
      <w:r>
        <w:t xml:space="preserve">The resulting interest savings;</w:t>
      </w:r>
    </w:p>
    <w:p>
      <w:pPr>
        <w:pStyle w:val="Compact"/>
        <w:numPr>
          <w:ilvl w:val="0"/>
          <w:numId w:val="1006"/>
        </w:numPr>
      </w:pPr>
      <w:r>
        <w:t xml:space="preserve">Updated FFO-to-debt metrics;</w:t>
      </w:r>
    </w:p>
    <w:p>
      <w:pPr>
        <w:pStyle w:val="Compact"/>
        <w:numPr>
          <w:ilvl w:val="0"/>
          <w:numId w:val="1006"/>
        </w:numPr>
      </w:pPr>
      <w:r>
        <w:t xml:space="preserve">Whether credit-rating headroom has increased; and</w:t>
      </w:r>
    </w:p>
    <w:p>
      <w:pPr>
        <w:pStyle w:val="Compact"/>
        <w:numPr>
          <w:ilvl w:val="0"/>
          <w:numId w:val="1006"/>
        </w:numPr>
      </w:pPr>
      <w:r>
        <w:t xml:space="preserve">Whether the planned</w:t>
      </w:r>
      <w:r>
        <w:t xml:space="preserve"> </w:t>
      </w:r>
      <m:oMath>
        <m:r>
          <m:t>800</m:t>
        </m:r>
        <m:r>
          <m:t>m</m:t>
        </m:r>
        <m:r>
          <m:t>i</m:t>
        </m:r>
        <m:r>
          <m:t>l</m:t>
        </m:r>
        <m:r>
          <m:t>l</m:t>
        </m:r>
        <m:r>
          <m:t>i</m:t>
        </m:r>
        <m:r>
          <m:t>o</m:t>
        </m:r>
        <m:r>
          <m:t>n</m:t>
        </m:r>
        <m:r>
          <m:rPr>
            <m:sty m:val="p"/>
          </m:rPr>
          <m:t>–</m:t>
        </m:r>
      </m:oMath>
      <w:r>
        <w:t xml:space="preserve">1.1 billion of equity through 2030 can be reduced or deferred.</w:t>
      </w:r>
    </w:p>
    <w:p>
      <w:pPr>
        <w:pStyle w:val="FirstParagraph"/>
      </w:pPr>
      <w:r>
        <w:t xml:space="preserve">At the first-quarter call, management reported FFO-to-debt metrics of 14.2% under S&amp;P’s methodology and 14.5% under Moody’s, each more than 100 basis points above downgrade thresholds. A visible improvement after Aquarion would strengthen the investment case.</w:t>
      </w:r>
    </w:p>
    <w:bookmarkEnd w:id="15"/>
    <w:bookmarkStart w:id="16" w:name="X15effcb71f225c769aa099217bf890e41c318e9"/>
    <w:p>
      <w:pPr>
        <w:pStyle w:val="Heading3"/>
      </w:pPr>
      <w:r>
        <w:t xml:space="preserve">3. What is the latest on the FERC transmission ROE dispute?</w:t>
      </w:r>
    </w:p>
    <w:p>
      <w:pPr>
        <w:pStyle w:val="FirstParagraph"/>
      </w:pPr>
      <w:r>
        <w:t xml:space="preserve">This is the largest unresolved risk.</w:t>
      </w:r>
    </w:p>
    <w:p>
      <w:pPr>
        <w:pStyle w:val="BodyText"/>
      </w:pPr>
      <w:r>
        <w:t xml:space="preserve">In March, FERC reduced the New England transmission owners’ base ROE to</w:t>
      </w:r>
      <w:r>
        <w:t xml:space="preserve"> </w:t>
      </w:r>
      <w:r>
        <w:rPr>
          <w:b/>
          <w:bCs/>
        </w:rPr>
        <w:t xml:space="preserve">9.57%</w:t>
      </w:r>
      <w:r>
        <w:t xml:space="preserve">. Eversource estimates that the lower rate reduces annual after-tax earnings by approximately</w:t>
      </w:r>
      <w:r>
        <w:t xml:space="preserve"> </w:t>
      </w:r>
      <w:r>
        <w:rPr>
          <w:b/>
          <w:bCs/>
        </w:rPr>
        <w:t xml:space="preserve">$70 million</w:t>
      </w:r>
      <w:r>
        <w:t xml:space="preserve">, partly offset by about $5 million from changes to transmission incentive adders.</w:t>
      </w:r>
    </w:p>
    <w:p>
      <w:pPr>
        <w:pStyle w:val="BodyText"/>
      </w:pPr>
      <w:r>
        <w:t xml:space="preserve">Eversource and the other transmission owners subsequently proposed a new</w:t>
      </w:r>
      <w:r>
        <w:t xml:space="preserve"> </w:t>
      </w:r>
      <w:r>
        <w:rPr>
          <w:b/>
          <w:bCs/>
        </w:rPr>
        <w:t xml:space="preserve">11.39% base ROE</w:t>
      </w:r>
      <w:r>
        <w:t xml:space="preserve">, using current market data and FERC’s own methodology. Management previously expected the proposed rate could begin being billed by December 2026, subject to refund, if the parties do not settle.</w:t>
      </w:r>
    </w:p>
    <w:p>
      <w:pPr>
        <w:pStyle w:val="BodyText"/>
      </w:pPr>
      <w:r>
        <w:t xml:space="preserve">Investors need updates on:</w:t>
      </w:r>
    </w:p>
    <w:p>
      <w:pPr>
        <w:pStyle w:val="Compact"/>
        <w:numPr>
          <w:ilvl w:val="0"/>
          <w:numId w:val="1007"/>
        </w:numPr>
      </w:pPr>
      <w:r>
        <w:t xml:space="preserve">Whether FERC accepted or suspended the 11.39% proposal;</w:t>
      </w:r>
    </w:p>
    <w:p>
      <w:pPr>
        <w:pStyle w:val="Compact"/>
        <w:numPr>
          <w:ilvl w:val="0"/>
          <w:numId w:val="1007"/>
        </w:numPr>
      </w:pPr>
      <w:r>
        <w:t xml:space="preserve">Settlement discussions;</w:t>
      </w:r>
    </w:p>
    <w:p>
      <w:pPr>
        <w:pStyle w:val="Compact"/>
        <w:numPr>
          <w:ilvl w:val="0"/>
          <w:numId w:val="1007"/>
        </w:numPr>
      </w:pPr>
      <w:r>
        <w:t xml:space="preserve">The likely effective date;</w:t>
      </w:r>
    </w:p>
    <w:p>
      <w:pPr>
        <w:pStyle w:val="Compact"/>
        <w:numPr>
          <w:ilvl w:val="0"/>
          <w:numId w:val="1007"/>
        </w:numPr>
      </w:pPr>
      <w:r>
        <w:t xml:space="preserve">The accounting rate Eversource expects to use for 2027 guidance;</w:t>
      </w:r>
    </w:p>
    <w:p>
      <w:pPr>
        <w:pStyle w:val="Compact"/>
        <w:numPr>
          <w:ilvl w:val="0"/>
          <w:numId w:val="1007"/>
        </w:numPr>
      </w:pPr>
      <w:r>
        <w:t xml:space="preserve">The legal appeal of retroactive refunds; and</w:t>
      </w:r>
    </w:p>
    <w:p>
      <w:pPr>
        <w:pStyle w:val="Compact"/>
        <w:numPr>
          <w:ilvl w:val="0"/>
          <w:numId w:val="1007"/>
        </w:numPr>
      </w:pPr>
      <w:r>
        <w:t xml:space="preserve">Whether any additional reserve is required.</w:t>
      </w:r>
    </w:p>
    <w:p>
      <w:pPr>
        <w:pStyle w:val="FirstParagraph"/>
      </w:pPr>
      <w:r>
        <w:t xml:space="preserve">The potential loss range disclosed in the first-quarter 10-Q was unusually wide:</w:t>
      </w:r>
      <w:r>
        <w:t xml:space="preserve"> </w:t>
      </w:r>
      <w:r>
        <w:rPr>
          <w:b/>
          <w:bCs/>
        </w:rPr>
        <w:t xml:space="preserve">$60.4 million to $932 million pre-tax</w:t>
      </w:r>
      <w:r>
        <w:t xml:space="preserve">. Eversource accrued only the low end, representing the statutory 15-month complaint period, because it does not believe the much larger retroactive refund is probable. Any change in that assessment would be a material negative, even if treated as nonrecurring.</w:t>
      </w:r>
    </w:p>
    <w:p>
      <w:pPr>
        <w:pStyle w:val="BodyText"/>
      </w:pPr>
      <w:r>
        <w:t xml:space="preserve">Conversely, progress toward a prospective ROE above 9.57% would create earnings upside relative to current guidance and improve the economics of the transmission capital plan.</w:t>
      </w:r>
    </w:p>
    <w:bookmarkEnd w:id="16"/>
    <w:bookmarkStart w:id="17" w:name="Xf743ba86e1b0cab342cc15ac7fea90eba104f5a"/>
    <w:p>
      <w:pPr>
        <w:pStyle w:val="Heading3"/>
      </w:pPr>
      <w:r>
        <w:t xml:space="preserve">4. Can storm-cost securitization unlock meaningful cash?</w:t>
      </w:r>
    </w:p>
    <w:p>
      <w:pPr>
        <w:pStyle w:val="FirstParagraph"/>
      </w:pPr>
      <w:r>
        <w:t xml:space="preserve">Connecticut’s review covers approximately</w:t>
      </w:r>
      <w:r>
        <w:t xml:space="preserve"> </w:t>
      </w:r>
      <m:oMath>
        <m:r>
          <m:t>978</m:t>
        </m:r>
        <m:r>
          <m:t>m</m:t>
        </m:r>
        <m:r>
          <m:t>i</m:t>
        </m:r>
        <m:r>
          <m:t>l</m:t>
        </m:r>
        <m:r>
          <m:t>l</m:t>
        </m:r>
        <m:r>
          <m:t>i</m:t>
        </m:r>
        <m:r>
          <m:t>o</m:t>
        </m:r>
        <m:r>
          <m:t>n</m:t>
        </m:r>
        <m:r>
          <m:rPr>
            <m:sty m:val="p"/>
          </m:rPr>
          <m:t>*</m:t>
        </m:r>
        <m:r>
          <m:rPr>
            <m:sty m:val="p"/>
          </m:rPr>
          <m:t>*</m:t>
        </m:r>
        <m:r>
          <m:t>o</m:t>
        </m:r>
        <m:r>
          <m:t>f</m:t>
        </m:r>
        <m:r>
          <m:t>d</m:t>
        </m:r>
        <m:r>
          <m:t>e</m:t>
        </m:r>
        <m:r>
          <m:t>f</m:t>
        </m:r>
        <m:r>
          <m:t>e</m:t>
        </m:r>
        <m:r>
          <m:t>r</m:t>
        </m:r>
        <m:r>
          <m:t>r</m:t>
        </m:r>
        <m:r>
          <m:t>e</m:t>
        </m:r>
        <m:r>
          <m:t>d</m:t>
        </m:r>
        <m:r>
          <m:t>s</m:t>
        </m:r>
        <m:r>
          <m:t>t</m:t>
        </m:r>
        <m:r>
          <m:t>o</m:t>
        </m:r>
        <m:r>
          <m:t>r</m:t>
        </m:r>
        <m:r>
          <m:t>m</m:t>
        </m:r>
        <m:r>
          <m:t>c</m:t>
        </m:r>
        <m:r>
          <m:t>o</m:t>
        </m:r>
        <m:r>
          <m:t>s</m:t>
        </m:r>
        <m:r>
          <m:t>t</m:t>
        </m:r>
        <m:r>
          <m:t>s</m:t>
        </m:r>
        <m:r>
          <m:t>i</m:t>
        </m:r>
        <m:r>
          <m:t>n</m:t>
        </m:r>
        <m:r>
          <m:t>c</m:t>
        </m:r>
        <m:r>
          <m:t>u</m:t>
        </m:r>
        <m:r>
          <m:t>r</m:t>
        </m:r>
        <m:r>
          <m:t>r</m:t>
        </m:r>
        <m:r>
          <m:t>e</m:t>
        </m:r>
        <m:r>
          <m:t>d</m:t>
        </m:r>
        <m:r>
          <m:t>f</m:t>
        </m:r>
        <m:r>
          <m:t>r</m:t>
        </m:r>
        <m:r>
          <m:t>o</m:t>
        </m:r>
        <m:r>
          <m:t>m</m:t>
        </m:r>
        <m:r>
          <m:t>2018</m:t>
        </m:r>
        <m:r>
          <m:t>t</m:t>
        </m:r>
        <m:r>
          <m:t>h</m:t>
        </m:r>
        <m:r>
          <m:t>r</m:t>
        </m:r>
        <m:r>
          <m:t>o</m:t>
        </m:r>
        <m:r>
          <m:t>u</m:t>
        </m:r>
        <m:r>
          <m:t>g</m:t>
        </m:r>
        <m:r>
          <m:t>h</m:t>
        </m:r>
        <m:r>
          <m:t>2023</m:t>
        </m:r>
        <m:r>
          <m:rPr>
            <m:sty m:val="p"/>
          </m:rPr>
          <m:t>.</m:t>
        </m:r>
        <m:r>
          <m:t>E</m:t>
        </m:r>
        <m:r>
          <m:t>v</m:t>
        </m:r>
        <m:r>
          <m:t>e</m:t>
        </m:r>
        <m:r>
          <m:t>r</m:t>
        </m:r>
        <m:r>
          <m:t>s</m:t>
        </m:r>
        <m:r>
          <m:t>o</m:t>
        </m:r>
        <m:r>
          <m:t>u</m:t>
        </m:r>
        <m:r>
          <m:t>r</m:t>
        </m:r>
        <m:r>
          <m:t>c</m:t>
        </m:r>
        <m:r>
          <m:t>e</m:t>
        </m:r>
        <m:r>
          <m:t>h</m:t>
        </m:r>
        <m:r>
          <m:t>a</m:t>
        </m:r>
        <m:r>
          <m:t>s</m:t>
        </m:r>
        <m:r>
          <m:t>a</m:t>
        </m:r>
        <m:r>
          <m:t>l</m:t>
        </m:r>
        <m:r>
          <m:t>s</m:t>
        </m:r>
        <m:r>
          <m:t>o</m:t>
        </m:r>
        <m:r>
          <m:t>c</m:t>
        </m:r>
        <m:r>
          <m:t>i</m:t>
        </m:r>
        <m:r>
          <m:t>t</m:t>
        </m:r>
        <m:r>
          <m:t>e</m:t>
        </m:r>
        <m:r>
          <m:t>d</m:t>
        </m:r>
        <m:r>
          <m:t>r</m:t>
        </m:r>
        <m:r>
          <m:t>o</m:t>
        </m:r>
        <m:r>
          <m:t>u</m:t>
        </m:r>
        <m:r>
          <m:t>g</m:t>
        </m:r>
        <m:r>
          <m:t>h</m:t>
        </m:r>
        <m:r>
          <m:t>l</m:t>
        </m:r>
        <m:r>
          <m:t>y</m:t>
        </m:r>
        <m:r>
          <m:rPr>
            <m:sty m:val="p"/>
          </m:rPr>
          <m:t>*</m:t>
        </m:r>
        <m:r>
          <m:rPr>
            <m:sty m:val="p"/>
          </m:rPr>
          <m:t>*</m:t>
        </m:r>
      </m:oMath>
      <w:r>
        <w:rPr>
          <w:b/>
          <w:bCs/>
        </w:rPr>
        <w:t xml:space="preserve">246 million of associated carrying charges</w:t>
      </w:r>
      <w:r>
        <w:t xml:space="preserve">. A final prudency decision had been expected around</w:t>
      </w:r>
      <w:r>
        <w:t xml:space="preserve"> </w:t>
      </w:r>
      <w:r>
        <w:rPr>
          <w:b/>
          <w:bCs/>
        </w:rPr>
        <w:t xml:space="preserve">July 29, 2026</w:t>
      </w:r>
      <w:r>
        <w:t xml:space="preserve">, making this a potentially important call update.</w:t>
      </w:r>
    </w:p>
    <w:p>
      <w:pPr>
        <w:pStyle w:val="BodyText"/>
      </w:pPr>
      <w:r>
        <w:t xml:space="preserve">PURA previously approved $100 million of interim storm-cost recovery, and a separate proceeding is considering securitization through rate-reduction bonds.</w:t>
      </w:r>
    </w:p>
    <w:p>
      <w:pPr>
        <w:pStyle w:val="BodyText"/>
      </w:pPr>
      <w:r>
        <w:t xml:space="preserve">Together with New Hampshire, management has said approximately</w:t>
      </w:r>
      <w:r>
        <w:t xml:space="preserve"> </w:t>
      </w:r>
      <w:r>
        <w:rPr>
          <w:b/>
          <w:bCs/>
        </w:rPr>
        <w:t xml:space="preserve">$2 billion</w:t>
      </w:r>
      <w:r>
        <w:t xml:space="preserve"> </w:t>
      </w:r>
      <w:r>
        <w:t xml:space="preserve">of deferred storm costs and carrying charges could be recovered through securitization over the next 12–18 months. That cash could:</w:t>
      </w:r>
    </w:p>
    <w:p>
      <w:pPr>
        <w:pStyle w:val="Compact"/>
        <w:numPr>
          <w:ilvl w:val="0"/>
          <w:numId w:val="1008"/>
        </w:numPr>
      </w:pPr>
      <w:r>
        <w:t xml:space="preserve">Reduce financing needs;</w:t>
      </w:r>
    </w:p>
    <w:p>
      <w:pPr>
        <w:pStyle w:val="Compact"/>
        <w:numPr>
          <w:ilvl w:val="0"/>
          <w:numId w:val="1008"/>
        </w:numPr>
      </w:pPr>
      <w:r>
        <w:t xml:space="preserve">Improve FFO-to-debt;</w:t>
      </w:r>
    </w:p>
    <w:p>
      <w:pPr>
        <w:pStyle w:val="Compact"/>
        <w:numPr>
          <w:ilvl w:val="0"/>
          <w:numId w:val="1008"/>
        </w:numPr>
      </w:pPr>
      <w:r>
        <w:t xml:space="preserve">Limit equity issuance;</w:t>
      </w:r>
    </w:p>
    <w:p>
      <w:pPr>
        <w:pStyle w:val="Compact"/>
        <w:numPr>
          <w:ilvl w:val="0"/>
          <w:numId w:val="1008"/>
        </w:numPr>
      </w:pPr>
      <w:r>
        <w:t xml:space="preserve">Lower carrying costs; and</w:t>
      </w:r>
    </w:p>
    <w:p>
      <w:pPr>
        <w:pStyle w:val="Compact"/>
        <w:numPr>
          <w:ilvl w:val="0"/>
          <w:numId w:val="1008"/>
        </w:numPr>
      </w:pPr>
      <w:r>
        <w:t xml:space="preserve">Improve customer affordability relative to conventional recovery.</w:t>
      </w:r>
    </w:p>
    <w:p>
      <w:pPr>
        <w:pStyle w:val="FirstParagraph"/>
      </w:pPr>
      <w:r>
        <w:t xml:space="preserve">A favorable Connecticut decision would likely matter more to the stock than a modest quarterly EPS beat.</w:t>
      </w:r>
    </w:p>
    <w:bookmarkEnd w:id="17"/>
    <w:bookmarkStart w:id="18" w:name="Xa1bfb07a5fe431f6f828bc33caa7d55b6a8224a"/>
    <w:p>
      <w:pPr>
        <w:pStyle w:val="Heading3"/>
      </w:pPr>
      <w:r>
        <w:t xml:space="preserve">5. What is the status of the CL&amp;P rate case?</w:t>
      </w:r>
    </w:p>
    <w:p>
      <w:pPr>
        <w:pStyle w:val="FirstParagraph"/>
      </w:pPr>
      <w:r>
        <w:t xml:space="preserve">Eversource planned to initiate Connecticut Light &amp; Power’s first comprehensive rate review in roughly eight years. This is a critical element of the projected earnings-growth acceleration toward the upper half of the 5%–7% range by 2028.</w:t>
      </w:r>
    </w:p>
    <w:p>
      <w:pPr>
        <w:pStyle w:val="BodyText"/>
      </w:pPr>
      <w:r>
        <w:t xml:space="preserve">Investors should look for:</w:t>
      </w:r>
    </w:p>
    <w:p>
      <w:pPr>
        <w:pStyle w:val="Compact"/>
        <w:numPr>
          <w:ilvl w:val="0"/>
          <w:numId w:val="1009"/>
        </w:numPr>
      </w:pPr>
      <w:r>
        <w:t xml:space="preserve">Confirmation that the filing process is on schedule;</w:t>
      </w:r>
    </w:p>
    <w:p>
      <w:pPr>
        <w:pStyle w:val="Compact"/>
        <w:numPr>
          <w:ilvl w:val="0"/>
          <w:numId w:val="1009"/>
        </w:numPr>
      </w:pPr>
      <w:r>
        <w:t xml:space="preserve">The requested revenue increase;</w:t>
      </w:r>
    </w:p>
    <w:p>
      <w:pPr>
        <w:pStyle w:val="Compact"/>
        <w:numPr>
          <w:ilvl w:val="0"/>
          <w:numId w:val="1009"/>
        </w:numPr>
      </w:pPr>
      <w:r>
        <w:t xml:space="preserve">Proposed ROE and capital structure;</w:t>
      </w:r>
    </w:p>
    <w:p>
      <w:pPr>
        <w:pStyle w:val="Compact"/>
        <w:numPr>
          <w:ilvl w:val="0"/>
          <w:numId w:val="1009"/>
        </w:numPr>
      </w:pPr>
      <w:r>
        <w:t xml:space="preserve">Treatment of recent reliability and grid investments;</w:t>
      </w:r>
    </w:p>
    <w:p>
      <w:pPr>
        <w:pStyle w:val="Compact"/>
        <w:numPr>
          <w:ilvl w:val="0"/>
          <w:numId w:val="1009"/>
        </w:numPr>
      </w:pPr>
      <w:r>
        <w:t xml:space="preserve">Potential bill impacts;</w:t>
      </w:r>
    </w:p>
    <w:p>
      <w:pPr>
        <w:pStyle w:val="Compact"/>
        <w:numPr>
          <w:ilvl w:val="0"/>
          <w:numId w:val="1009"/>
        </w:numPr>
      </w:pPr>
      <w:r>
        <w:t xml:space="preserve">The procedural calendar; and</w:t>
      </w:r>
    </w:p>
    <w:p>
      <w:pPr>
        <w:pStyle w:val="Compact"/>
        <w:numPr>
          <w:ilvl w:val="0"/>
          <w:numId w:val="1009"/>
        </w:numPr>
      </w:pPr>
      <w:r>
        <w:t xml:space="preserve">Whether management still expects new rates during 2027.</w:t>
      </w:r>
    </w:p>
    <w:p>
      <w:pPr>
        <w:pStyle w:val="FirstParagraph"/>
      </w:pPr>
      <w:r>
        <w:t xml:space="preserve">Connecticut’s regulatory environment has historically been one of the principal reasons for Eversource’s valuation discount. A disciplined filing and constructive early regulatory signals would support multiple expansion; an adversarial process would revive that discount.</w:t>
      </w:r>
    </w:p>
    <w:bookmarkEnd w:id="18"/>
    <w:bookmarkEnd w:id="19"/>
    <w:bookmarkStart w:id="24" w:name="segment-watch"/>
    <w:p>
      <w:pPr>
        <w:pStyle w:val="Heading2"/>
      </w:pPr>
      <w:r>
        <w:t xml:space="preserve">Segment watch</w:t>
      </w:r>
    </w:p>
    <w:bookmarkStart w:id="20" w:name="electric-transmission"/>
    <w:p>
      <w:pPr>
        <w:pStyle w:val="Heading3"/>
      </w:pPr>
      <w:r>
        <w:t xml:space="preserve">Electric transmission</w:t>
      </w:r>
    </w:p>
    <w:p>
      <w:pPr>
        <w:pStyle w:val="FirstParagraph"/>
      </w:pPr>
      <w:r>
        <w:t xml:space="preserve">Underlying rate-base growth should remain positive, but the 100-basis-point base ROE reduction is now a recurring headwind. The key issue is less the reported quarterly contribution than the prospective rate Eversource can earn on its expanding transmission portfolio.</w:t>
      </w:r>
    </w:p>
    <w:p>
      <w:pPr>
        <w:pStyle w:val="BodyText"/>
      </w:pPr>
      <w:r>
        <w:t xml:space="preserve">Management’s commitment to the transmission portion of the $26.5 billion capital plan also bears watching. It previously acknowledged that investment could be reconsidered if returns remain inadequate.</w:t>
      </w:r>
    </w:p>
    <w:bookmarkEnd w:id="20"/>
    <w:bookmarkStart w:id="21" w:name="electric-distribution"/>
    <w:p>
      <w:pPr>
        <w:pStyle w:val="Heading3"/>
      </w:pPr>
      <w:r>
        <w:t xml:space="preserve">Electric distribution</w:t>
      </w:r>
    </w:p>
    <w:p>
      <w:pPr>
        <w:pStyle w:val="FirstParagraph"/>
      </w:pPr>
      <w:r>
        <w:t xml:space="preserve">This should be a relatively steady contributor, benefiting from:</w:t>
      </w:r>
    </w:p>
    <w:p>
      <w:pPr>
        <w:pStyle w:val="Compact"/>
        <w:numPr>
          <w:ilvl w:val="0"/>
          <w:numId w:val="1010"/>
        </w:numPr>
      </w:pPr>
      <w:r>
        <w:t xml:space="preserve">Massachusetts rate increases;</w:t>
      </w:r>
    </w:p>
    <w:p>
      <w:pPr>
        <w:pStyle w:val="Compact"/>
        <w:numPr>
          <w:ilvl w:val="0"/>
          <w:numId w:val="1010"/>
        </w:numPr>
      </w:pPr>
      <w:r>
        <w:t xml:space="preserve">The permanent New Hampshire rate increase;</w:t>
      </w:r>
    </w:p>
    <w:p>
      <w:pPr>
        <w:pStyle w:val="Compact"/>
        <w:numPr>
          <w:ilvl w:val="0"/>
          <w:numId w:val="1010"/>
        </w:numPr>
      </w:pPr>
      <w:r>
        <w:t xml:space="preserve">Continued capital deployment; and</w:t>
      </w:r>
    </w:p>
    <w:p>
      <w:pPr>
        <w:pStyle w:val="Compact"/>
        <w:numPr>
          <w:ilvl w:val="0"/>
          <w:numId w:val="1010"/>
        </w:numPr>
      </w:pPr>
      <w:r>
        <w:t xml:space="preserve">AMI and other capital-tracking mechanisms.</w:t>
      </w:r>
    </w:p>
    <w:p>
      <w:pPr>
        <w:pStyle w:val="FirstParagraph"/>
      </w:pPr>
      <w:r>
        <w:t xml:space="preserve">Watch O&amp;M, storm expense, depreciation and property taxes. Higher investment only creates value if regulatory recovery remains timely.</w:t>
      </w:r>
    </w:p>
    <w:bookmarkEnd w:id="21"/>
    <w:bookmarkStart w:id="22" w:name="natural-gas-distribution"/>
    <w:p>
      <w:pPr>
        <w:pStyle w:val="Heading3"/>
      </w:pPr>
      <w:r>
        <w:t xml:space="preserve">Natural-gas distribution</w:t>
      </w:r>
    </w:p>
    <w:p>
      <w:pPr>
        <w:pStyle w:val="FirstParagraph"/>
      </w:pPr>
      <w:r>
        <w:t xml:space="preserve">Gas produced the largest year-over-year earnings increase in the first quarter, principally because of rate increases effective in November 2025. The second quarter is seasonally less important, but the segment should still post a better year-over-year result.</w:t>
      </w:r>
    </w:p>
    <w:p>
      <w:pPr>
        <w:pStyle w:val="BodyText"/>
      </w:pPr>
      <w:r>
        <w:t xml:space="preserve">The focus should be on whether higher revenues continue to exceed increases in O&amp;M, depreciation, taxes and interest.</w:t>
      </w:r>
    </w:p>
    <w:bookmarkEnd w:id="22"/>
    <w:bookmarkStart w:id="23" w:name="parent-and-other"/>
    <w:p>
      <w:pPr>
        <w:pStyle w:val="Heading3"/>
      </w:pPr>
      <w:r>
        <w:t xml:space="preserve">Parent and other</w:t>
      </w:r>
    </w:p>
    <w:p>
      <w:pPr>
        <w:pStyle w:val="FirstParagraph"/>
      </w:pPr>
      <w:r>
        <w:t xml:space="preserve">This remains an important drag. Parent and other lost $78 million in 1Q26, versus $59 million a year earlier, reflecting higher interest and tax expense.</w:t>
      </w:r>
    </w:p>
    <w:p>
      <w:pPr>
        <w:pStyle w:val="BodyText"/>
      </w:pPr>
      <w:r>
        <w:t xml:space="preserve">Aquarion debt repayment should eventually reduce this burden. If parent losses remain elevated despite the asset-sale proceeds, investors may question the timing or effectiveness of the balance-sheet improvement.</w:t>
      </w:r>
    </w:p>
    <w:bookmarkEnd w:id="23"/>
    <w:bookmarkEnd w:id="24"/>
    <w:bookmarkStart w:id="27" w:name="additional-call-topics"/>
    <w:p>
      <w:pPr>
        <w:pStyle w:val="Heading2"/>
      </w:pPr>
      <w:r>
        <w:t xml:space="preserve">Additional call topics</w:t>
      </w:r>
    </w:p>
    <w:bookmarkStart w:id="25" w:name="revolution-wind"/>
    <w:p>
      <w:pPr>
        <w:pStyle w:val="Heading3"/>
      </w:pPr>
      <w:r>
        <w:t xml:space="preserve">Revolution Wind</w:t>
      </w:r>
    </w:p>
    <w:p>
      <w:pPr>
        <w:pStyle w:val="FirstParagraph"/>
      </w:pPr>
      <w:r>
        <w:t xml:space="preserve">At the first-quarter call, management said Revolution Wind was approximately 95% complete and expected commercial operation during the second half of 2026. Although Eversource sold its ownership interest, it retains exposure through post-closing cost obligations.</w:t>
      </w:r>
    </w:p>
    <w:p>
      <w:pPr>
        <w:pStyle w:val="BodyText"/>
      </w:pPr>
      <w:r>
        <w:t xml:space="preserve">Investors should listen for:</w:t>
      </w:r>
    </w:p>
    <w:p>
      <w:pPr>
        <w:pStyle w:val="Compact"/>
        <w:numPr>
          <w:ilvl w:val="0"/>
          <w:numId w:val="1011"/>
        </w:numPr>
      </w:pPr>
      <w:r>
        <w:t xml:space="preserve">Updated completion percentage;</w:t>
      </w:r>
    </w:p>
    <w:p>
      <w:pPr>
        <w:pStyle w:val="Compact"/>
        <w:numPr>
          <w:ilvl w:val="0"/>
          <w:numId w:val="1011"/>
        </w:numPr>
      </w:pPr>
      <w:r>
        <w:t xml:space="preserve">Expected commercial-operation date;</w:t>
      </w:r>
    </w:p>
    <w:p>
      <w:pPr>
        <w:pStyle w:val="Compact"/>
        <w:numPr>
          <w:ilvl w:val="0"/>
          <w:numId w:val="1011"/>
        </w:numPr>
      </w:pPr>
      <w:r>
        <w:t xml:space="preserve">Whether the existing contingent liability remains sufficient; and</w:t>
      </w:r>
    </w:p>
    <w:p>
      <w:pPr>
        <w:pStyle w:val="Compact"/>
        <w:numPr>
          <w:ilvl w:val="0"/>
          <w:numId w:val="1011"/>
        </w:numPr>
      </w:pPr>
      <w:r>
        <w:t xml:space="preserve">Any additional cash payments or cost overruns.</w:t>
      </w:r>
    </w:p>
    <w:bookmarkEnd w:id="25"/>
    <w:bookmarkStart w:id="26" w:name="capital-spending-and-financing"/>
    <w:p>
      <w:pPr>
        <w:pStyle w:val="Heading3"/>
      </w:pPr>
      <w:r>
        <w:t xml:space="preserve">Capital spending and financing</w:t>
      </w:r>
    </w:p>
    <w:p>
      <w:pPr>
        <w:pStyle w:val="FirstParagraph"/>
      </w:pPr>
      <w:r>
        <w:t xml:space="preserve">Eversource reaffirmed a</w:t>
      </w:r>
      <w:r>
        <w:t xml:space="preserve"> </w:t>
      </w:r>
      <w:r>
        <w:rPr>
          <w:b/>
          <w:bCs/>
        </w:rPr>
        <w:t xml:space="preserve">$26.5 billion 2026–2030 utility capital plan</w:t>
      </w:r>
      <w:r>
        <w:t xml:space="preserve">, including $5.1 billion for 2026. The company had spent approximately $813 million on capital projects in the first quarter.</w:t>
      </w:r>
    </w:p>
    <w:p>
      <w:pPr>
        <w:pStyle w:val="BodyText"/>
      </w:pPr>
      <w:r>
        <w:t xml:space="preserve">The report should indicate whether:</w:t>
      </w:r>
    </w:p>
    <w:p>
      <w:pPr>
        <w:pStyle w:val="Compact"/>
        <w:numPr>
          <w:ilvl w:val="0"/>
          <w:numId w:val="1012"/>
        </w:numPr>
      </w:pPr>
      <w:r>
        <w:t xml:space="preserve">2026 spending is on schedule;</w:t>
      </w:r>
    </w:p>
    <w:p>
      <w:pPr>
        <w:pStyle w:val="Compact"/>
        <w:numPr>
          <w:ilvl w:val="0"/>
          <w:numId w:val="1012"/>
        </w:numPr>
      </w:pPr>
      <w:r>
        <w:t xml:space="preserve">Aquarion’s sale changes the capital mix;</w:t>
      </w:r>
    </w:p>
    <w:p>
      <w:pPr>
        <w:pStyle w:val="Compact"/>
        <w:numPr>
          <w:ilvl w:val="0"/>
          <w:numId w:val="1012"/>
        </w:numPr>
      </w:pPr>
      <w:r>
        <w:t xml:space="preserve">FERC developments alter transmission investment;</w:t>
      </w:r>
    </w:p>
    <w:p>
      <w:pPr>
        <w:pStyle w:val="Compact"/>
        <w:numPr>
          <w:ilvl w:val="0"/>
          <w:numId w:val="1012"/>
        </w:numPr>
      </w:pPr>
      <w:r>
        <w:t xml:space="preserve">Interest expense is tracking as planned; and</w:t>
      </w:r>
    </w:p>
    <w:p>
      <w:pPr>
        <w:pStyle w:val="Compact"/>
        <w:numPr>
          <w:ilvl w:val="0"/>
          <w:numId w:val="1012"/>
        </w:numPr>
      </w:pPr>
      <w:r>
        <w:t xml:space="preserve">The equity requirement remains limited to</w:t>
      </w:r>
      <w:r>
        <w:t xml:space="preserve"> </w:t>
      </w:r>
      <m:oMath>
        <m:r>
          <m:t>800</m:t>
        </m:r>
        <m:r>
          <m:t>m</m:t>
        </m:r>
        <m:r>
          <m:t>i</m:t>
        </m:r>
        <m:r>
          <m:t>l</m:t>
        </m:r>
        <m:r>
          <m:t>l</m:t>
        </m:r>
        <m:r>
          <m:t>i</m:t>
        </m:r>
        <m:r>
          <m:t>o</m:t>
        </m:r>
        <m:r>
          <m:t>n</m:t>
        </m:r>
        <m:r>
          <m:rPr>
            <m:sty m:val="p"/>
          </m:rPr>
          <m:t>–</m:t>
        </m:r>
      </m:oMath>
      <w:r>
        <w:t xml:space="preserve">1.1 billion through 2030.</w:t>
      </w:r>
    </w:p>
    <w:bookmarkEnd w:id="26"/>
    <w:bookmarkEnd w:id="27"/>
    <w:bookmarkStart w:id="30" w:name="bull-and-bear-scenarios"/>
    <w:p>
      <w:pPr>
        <w:pStyle w:val="Heading2"/>
      </w:pPr>
      <w:r>
        <w:t xml:space="preserve">Bull and bear scenarios</w:t>
      </w:r>
    </w:p>
    <w:bookmarkStart w:id="28" w:name="bull-case"/>
    <w:p>
      <w:pPr>
        <w:pStyle w:val="Heading3"/>
      </w:pPr>
      <w:r>
        <w:t xml:space="preserve">Bull case</w:t>
      </w:r>
    </w:p>
    <w:p>
      <w:pPr>
        <w:pStyle w:val="Compact"/>
        <w:numPr>
          <w:ilvl w:val="0"/>
          <w:numId w:val="1013"/>
        </w:numPr>
      </w:pPr>
      <w:r>
        <w:t xml:space="preserve">Guidance is reaffirmed with performance tracking at least near the midpoint.</w:t>
      </w:r>
    </w:p>
    <w:p>
      <w:pPr>
        <w:pStyle w:val="Compact"/>
        <w:numPr>
          <w:ilvl w:val="0"/>
          <w:numId w:val="1013"/>
        </w:numPr>
      </w:pPr>
      <w:r>
        <w:t xml:space="preserve">Aquarion proceeds have already produced meaningful parent-debt reduction.</w:t>
      </w:r>
    </w:p>
    <w:p>
      <w:pPr>
        <w:pStyle w:val="Compact"/>
        <w:numPr>
          <w:ilvl w:val="0"/>
          <w:numId w:val="1013"/>
        </w:numPr>
      </w:pPr>
      <w:r>
        <w:t xml:space="preserve">Credit metrics improve and equity needs move toward the low end of the range.</w:t>
      </w:r>
    </w:p>
    <w:p>
      <w:pPr>
        <w:pStyle w:val="Compact"/>
        <w:numPr>
          <w:ilvl w:val="0"/>
          <w:numId w:val="1013"/>
        </w:numPr>
      </w:pPr>
      <w:r>
        <w:t xml:space="preserve">Connecticut storm costs receive a favorable prudency determination.</w:t>
      </w:r>
    </w:p>
    <w:p>
      <w:pPr>
        <w:pStyle w:val="Compact"/>
        <w:numPr>
          <w:ilvl w:val="0"/>
          <w:numId w:val="1013"/>
        </w:numPr>
      </w:pPr>
      <w:r>
        <w:t xml:space="preserve">Securitization remains on track for substantial cash recovery.</w:t>
      </w:r>
    </w:p>
    <w:p>
      <w:pPr>
        <w:pStyle w:val="Compact"/>
        <w:numPr>
          <w:ilvl w:val="0"/>
          <w:numId w:val="1013"/>
        </w:numPr>
      </w:pPr>
      <w:r>
        <w:t xml:space="preserve">FERC discussions support a prospective ROE materially above 9.57%.</w:t>
      </w:r>
    </w:p>
    <w:p>
      <w:pPr>
        <w:pStyle w:val="Compact"/>
        <w:numPr>
          <w:ilvl w:val="0"/>
          <w:numId w:val="1013"/>
        </w:numPr>
      </w:pPr>
      <w:r>
        <w:t xml:space="preserve">CL&amp;P’s rate case proceeds on a constructive timetable.</w:t>
      </w:r>
    </w:p>
    <w:p>
      <w:pPr>
        <w:pStyle w:val="Compact"/>
        <w:numPr>
          <w:ilvl w:val="0"/>
          <w:numId w:val="1013"/>
        </w:numPr>
      </w:pPr>
      <w:r>
        <w:t xml:space="preserve">No incremental Revolution Wind liability is required.</w:t>
      </w:r>
    </w:p>
    <w:bookmarkEnd w:id="28"/>
    <w:bookmarkStart w:id="29" w:name="bear-case"/>
    <w:p>
      <w:pPr>
        <w:pStyle w:val="Heading3"/>
      </w:pPr>
      <w:r>
        <w:t xml:space="preserve">Bear case</w:t>
      </w:r>
    </w:p>
    <w:p>
      <w:pPr>
        <w:pStyle w:val="Compact"/>
        <w:numPr>
          <w:ilvl w:val="0"/>
          <w:numId w:val="1014"/>
        </w:numPr>
      </w:pPr>
      <w:r>
        <w:t xml:space="preserve">Management points toward the bottom of the 2026 EPS range.</w:t>
      </w:r>
    </w:p>
    <w:p>
      <w:pPr>
        <w:pStyle w:val="Compact"/>
        <w:numPr>
          <w:ilvl w:val="0"/>
          <w:numId w:val="1014"/>
        </w:numPr>
      </w:pPr>
      <w:r>
        <w:t xml:space="preserve">Parent interest expense remains high despite the Aquarion sale.</w:t>
      </w:r>
    </w:p>
    <w:p>
      <w:pPr>
        <w:pStyle w:val="Compact"/>
        <w:numPr>
          <w:ilvl w:val="0"/>
          <w:numId w:val="1014"/>
        </w:numPr>
      </w:pPr>
      <w:r>
        <w:t xml:space="preserve">The FERC process is delayed or the company increases its refund reserve.</w:t>
      </w:r>
    </w:p>
    <w:p>
      <w:pPr>
        <w:pStyle w:val="Compact"/>
        <w:numPr>
          <w:ilvl w:val="0"/>
          <w:numId w:val="1014"/>
        </w:numPr>
      </w:pPr>
      <w:r>
        <w:t xml:space="preserve">Connecticut disallows a meaningful portion of storm costs.</w:t>
      </w:r>
    </w:p>
    <w:p>
      <w:pPr>
        <w:pStyle w:val="Compact"/>
        <w:numPr>
          <w:ilvl w:val="0"/>
          <w:numId w:val="1014"/>
        </w:numPr>
      </w:pPr>
      <w:r>
        <w:t xml:space="preserve">Securitization timing slips.</w:t>
      </w:r>
    </w:p>
    <w:p>
      <w:pPr>
        <w:pStyle w:val="Compact"/>
        <w:numPr>
          <w:ilvl w:val="0"/>
          <w:numId w:val="1014"/>
        </w:numPr>
      </w:pPr>
      <w:r>
        <w:t xml:space="preserve">The CL&amp;P filing becomes politically contentious or threatens affordability-related concessions.</w:t>
      </w:r>
    </w:p>
    <w:p>
      <w:pPr>
        <w:pStyle w:val="Compact"/>
        <w:numPr>
          <w:ilvl w:val="0"/>
          <w:numId w:val="1014"/>
        </w:numPr>
      </w:pPr>
      <w:r>
        <w:t xml:space="preserve">Equity needs rise above the existing</w:t>
      </w:r>
      <w:r>
        <w:t xml:space="preserve"> </w:t>
      </w:r>
      <m:oMath>
        <m:r>
          <m:t>800</m:t>
        </m:r>
        <m:r>
          <m:t>m</m:t>
        </m:r>
        <m:r>
          <m:t>i</m:t>
        </m:r>
        <m:r>
          <m:t>l</m:t>
        </m:r>
        <m:r>
          <m:t>l</m:t>
        </m:r>
        <m:r>
          <m:t>i</m:t>
        </m:r>
        <m:r>
          <m:t>o</m:t>
        </m:r>
        <m:r>
          <m:t>n</m:t>
        </m:r>
        <m:r>
          <m:rPr>
            <m:sty m:val="p"/>
          </m:rPr>
          <m:t>–</m:t>
        </m:r>
      </m:oMath>
      <w:r>
        <w:t xml:space="preserve">1.1 billion plan.</w:t>
      </w:r>
    </w:p>
    <w:p>
      <w:pPr>
        <w:pStyle w:val="Compact"/>
        <w:numPr>
          <w:ilvl w:val="0"/>
          <w:numId w:val="1014"/>
        </w:numPr>
      </w:pPr>
      <w:r>
        <w:t xml:space="preserve">Revolution Wind requires another material payment or reserve.</w:t>
      </w:r>
    </w:p>
    <w:bookmarkEnd w:id="29"/>
    <w:bookmarkEnd w:id="30"/>
    <w:bookmarkStart w:id="31" w:name="bottom-line"/>
    <w:p>
      <w:pPr>
        <w:pStyle w:val="Heading2"/>
      </w:pPr>
      <w:r>
        <w:t xml:space="preserve">Bottom line</w:t>
      </w:r>
    </w:p>
    <w:p>
      <w:pPr>
        <w:pStyle w:val="FirstParagraph"/>
      </w:pPr>
      <w:r>
        <w:t xml:space="preserve">Eversource’s recurring second-quarter operating results should benefit from rate increases and continued utility investment, but those positives are partly offset by the lower transmission ROE, higher financing costs and dilution. GAAP EPS will be clouded by the expected</w:t>
      </w:r>
      <w:r>
        <w:t xml:space="preserve"> </w:t>
      </w:r>
      <w:r>
        <w:rPr>
          <w:b/>
          <w:bCs/>
        </w:rPr>
        <w:t xml:space="preserve">$0.31-per-share Aquarion sale charge</w:t>
      </w:r>
      <w:r>
        <w:t xml:space="preserve">.</w:t>
      </w:r>
    </w:p>
    <w:p>
      <w:pPr>
        <w:pStyle w:val="BodyText"/>
      </w:pPr>
      <w:r>
        <w:t xml:space="preserve">The report’s real significance lies in the forward-looking updates. A clean guidance reaffirmation, visible debt reduction from Aquarion, favorable Connecticut storm-cost treatment and progress toward a better FERC transmission return would reinforce the argument that Eversource is transitioning into a simpler, better-capitalized regulated utility.</w:t>
      </w:r>
    </w:p>
    <w:p>
      <w:pPr>
        <w:pStyle w:val="BodyText"/>
      </w:pPr>
      <w:r>
        <w:t xml:space="preserve">The principal downside remains regulatory: the large potential FERC refund exposure, Connecticut recovery risk and the economics of funding a $26.5 billion capital plan. With ES already outperforming the utility sector year to date and trading near 16x guidance, investors will likely require tangible progress on those issues—not merely an in-line quarterly EPS result—to drive the shares materially higher.</w:t>
      </w:r>
    </w:p>
    <w:p>
      <w:pPr>
        <w:pStyle w:val="BodyText"/>
      </w:pPr>
      <w:r>
        <w:rPr>
          <w:i/>
          <w:iCs/>
        </w:rPr>
        <w:t xml:space="preserve">Sources: Eversource 1Q26 earnings release and conference-call transcript; 1Q26 Form 10-Q; June 30, 2026 Aquarion sale announcement; 2Q25 earnings release; July 9, 2026 earnings-call scheduling announcement; market prices through July 29, 2026.</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2026-07-29T19:51:47Z</dcterms:created>
  <dcterms:modified xsi:type="dcterms:W3CDTF">2026-07-29T19:51:47Z</dcterms:modified>
</cp:coreProperties>
</file>

<file path=docProps/custom.xml><?xml version="1.0" encoding="utf-8"?>
<Properties xmlns="http://schemas.openxmlformats.org/officeDocument/2006/custom-properties" xmlns:vt="http://schemas.openxmlformats.org/officeDocument/2006/docPropsVTypes"/>
</file>