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s-earnings-predictions--2026-07-30"/>
    <w:p>
      <w:pPr>
        <w:pStyle w:val="Heading1"/>
      </w:pPr>
      <w:r>
        <w:t xml:space="preserve">ES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non-GAAP recurring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~$0.90 vs. cons $0.88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GAAP diluted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~$0.59 vs. cons $0.71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~$3.08B vs. cons $3.12B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recurring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~$4.65 vs. cons $4.71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Connecticut and New Hampshire storm-cost securitization proceeds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2.00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2.00B (next 12-18 months)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Five-year common-equity financing need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0.95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0.95B (2026-2030)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+0.2% (FADE)</w:t>
            </w:r>
          </w:p>
        </w:tc>
        <w:tc>
          <w:tcPr/>
          <w:p>
            <w:pPr>
              <w:pStyle w:val="Compact"/>
            </w:pPr>
            <w:r>
              <w:t xml:space="preserve">A modest ~$0.02 recurring-EPS beat and reaffirmed FY2026 range should support an initially positive reaction, but the</w:t>
            </w:r>
            <w:r>
              <w:t xml:space="preserve"> </w:t>
            </w:r>
            <m:oMath>
              <m:r>
                <m:t>4.65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r</m:t>
              </m:r>
              <m:r>
                <m:t>e</m:t>
              </m:r>
              <m:r>
                <m:t>m</m:t>
              </m:r>
              <m:r>
                <m:t>a</m:t>
              </m:r>
              <m:r>
                <m:t>i</m:t>
              </m:r>
              <m:r>
                <m:t>n</m:t>
              </m:r>
              <m:r>
                <m:t>s</m:t>
              </m:r>
              <m:r>
                <m:t>b</m:t>
              </m:r>
              <m:r>
                <m:t>e</m:t>
              </m:r>
              <m:r>
                <m:t>l</m:t>
              </m:r>
              <m:r>
                <m:t>o</m:t>
              </m:r>
              <m:r>
                <m:t>w</m:t>
              </m:r>
              <m:r>
                <m:t> </m:t>
              </m:r>
            </m:oMath>
            <w:r>
              <w:t xml:space="preserve">4.71 consensus and likely offers no out-period estimate uplift. Aquarion debt reduction is already disclosed, while definitive Connecticut storm-cost and FERC-resolution catalysts are unlikely to be fully delivered in the print; that limits revisions and causes the initial move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2026-07-29T19:53:49Z</dcterms:created>
  <dcterms:modified xsi:type="dcterms:W3CDTF">2026-07-29T19:53:49Z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