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Eversource Energy (ES) — Q2 2026 Earnings Preview</w:t>
      </w:r>
    </w:p>
    <w:p>
      <w:r>
        <w:rPr>
          <w:rFonts w:ascii="Calibri" w:hAnsi="Calibri"/>
          <w:color w:val="525866"/>
          <w:sz w:val="22"/>
        </w:rPr>
        <w:t>Prepared: July 29, 2026  |  Earnings Release: July 30, 2026 (after market close)  |  Earnings Call: July 31, 2026, 9:00 AM ET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Setup is modestly constructive — consensus is a manageable bar on operating EPS, but the quarter will carry a meaningful GAAP charge from the Aquarion sale close, and the market's focus will be on management's updated tone around the FERC ROE Section 205 process and storm cost securitization timelines.</w:t>
      </w:r>
    </w:p>
    <w:p>
      <w:r>
        <w:rPr>
          <w:rFonts w:ascii="Calibri" w:hAnsi="Calibri"/>
          <w:color w:val="525866"/>
          <w:sz w:val="22"/>
        </w:rPr>
        <w:t xml:space="preserve">Heading into Q2 2026, the bar for Eversource is set at </w:t>
      </w:r>
      <w:r>
        <w:rPr>
          <w:rFonts w:ascii="Calibri" w:hAnsi="Calibri"/>
          <w:b/>
          <w:color w:val="525866"/>
          <w:sz w:val="22"/>
        </w:rPr>
        <w:t>$0.886 operating EPS</w:t>
      </w:r>
      <w:r>
        <w:rPr>
          <w:rFonts w:ascii="Calibri" w:hAnsi="Calibri"/>
          <w:color w:val="525866"/>
          <w:sz w:val="22"/>
        </w:rPr>
        <w:t xml:space="preserve"> — a seasonally soft quarter for a New England utility — with the more important story being the </w:t>
      </w:r>
      <w:r>
        <w:rPr>
          <w:rFonts w:ascii="Calibri" w:hAnsi="Calibri"/>
          <w:b/>
          <w:color w:val="525866"/>
          <w:sz w:val="22"/>
        </w:rPr>
        <w:t>Aquarion Water sale close on June 30</w:t>
      </w:r>
      <w:r>
        <w:rPr>
          <w:rFonts w:ascii="Calibri" w:hAnsi="Calibri"/>
          <w:color w:val="525866"/>
          <w:sz w:val="22"/>
        </w:rPr>
        <w:t xml:space="preserve">, which will generate an after-tax non-cash non-recurring charge of approximately </w:t>
      </w:r>
      <w:r>
        <w:rPr>
          <w:rFonts w:ascii="Calibri" w:hAnsi="Calibri"/>
          <w:b/>
          <w:color w:val="525866"/>
          <w:sz w:val="22"/>
        </w:rPr>
        <w:t>$115 million ($0.31/share)</w:t>
      </w:r>
      <w:r>
        <w:rPr>
          <w:rFonts w:ascii="Calibri" w:hAnsi="Calibri"/>
          <w:color w:val="525866"/>
          <w:sz w:val="22"/>
        </w:rPr>
        <w:t xml:space="preserve"> in Q2 GAAP results; management has guided investors to focus on non-GAAP operating EPS, which excludes both this charge and the prior FERC ROE refund accrual. Management's posture on the Q1 call was confident and forward-looking — characterizing 2026 as a "transformational year" — with the FERC Section 205 filing (proposing an 11.39% base ROE) and Connecticut storm prudency decision (expected July 2026) as the two most consequential near-term catalysts. Estimate revisions have drifted modestly lower since the Q1 print (from ~$0.940 to ~$0.886 for Q2), consistent with the Aquarion charge noise and seasonal patterns, while full-year 2026 consensus of ~$4.64 operating EPS sits near the midpoint of management's $4.57–$4.72 guidance range. The stock has recovered ~9% since the May 6 earnings date, outperforming XLU, suggesting the market has already priced in the self-help narrative; at ~15.9x NTM P/E, the multiple is not demanding but leaves little room for negative regulatory surprises. The </w:t>
      </w:r>
      <w:r>
        <w:rPr>
          <w:rFonts w:ascii="Calibri" w:hAnsi="Calibri"/>
          <w:b/>
          <w:color w:val="525866"/>
          <w:sz w:val="22"/>
        </w:rPr>
        <w:t>wildcard is the Connecticut storm prudency decision</w:t>
      </w:r>
      <w:r>
        <w:rPr>
          <w:rFonts w:ascii="Calibri" w:hAnsi="Calibri"/>
          <w:color w:val="525866"/>
          <w:sz w:val="22"/>
        </w:rPr>
        <w:t xml:space="preserve"> — if PURA issues a favorable ruling in July as expected, it unlocks ~$2 billion in combined CT/NH securitization proceeds and would be a meaningful positive catalyst; a delay or adverse outcome would be the single biggest downside risk to the near-term thesis.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Consensus operating EPS of $0.886 is a low seasonal bar; the bigger swing factor is whether management updates tone on the FERC Section 205 settlement timeline and CT storm prudency outcome. Revenue consensus of ~$2.92B is modestly above the prior-year Q2 actual.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Current Quarter Snapshot (Q2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KPI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Q1 2026 Actual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Q2 2025 Actual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Q2 2026 Consensus Estimate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YoY Change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Guidance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Consensus vs.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Operating EPS (Diluted)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$1.728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$0.956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$0.886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-7.3%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 2026: $4.57–$4.72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 consensus $4.64 = midpoint of range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$4,504M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$2,838M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$2,919M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+2.9%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quarterly guidance provided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Capital Expenditure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$1,009M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$1,042M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$1,391M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+33.5%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 2026: ~$5.1B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 consensus $4.94B vs. $5.1B guidance = -3.3%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FFO/Total Debt (%)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4.58%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0.97%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2.90%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+193 bps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 2026: ~12.9% (consensus)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Transmission Rate Base (Ending)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$11.21B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$10.56B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$11.45B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+8.4%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quarterly guidance provided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</w:tbl>
    <w:p>
      <w:r>
        <w:rPr>
          <w:rFonts w:ascii="Calibri" w:hAnsi="Calibri"/>
          <w:color w:val="525866"/>
          <w:sz w:val="22"/>
        </w:rPr>
        <w:t>Source: Visible Alpha Consensus and Actuals Data. All figures in USD. Operating EPS excludes Aquarion sale loss and FERC ROE charge per management non-GAAP definition. Q2 2026 GAAP EPS will include an estimated ~$0.31/share after-tax non-cash charge from the Aquarion sale close (June 30, 2026).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 (Last 8 Quarters, Operating EPS &amp; Revenue)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Quarter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Reported Operating EPS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Consensus EPS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EPS Surprise 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Result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Reported Revenue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Consensus Revenue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Revenue Surprise %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$0.956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$0.949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+0.7%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$2,838M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$2,862M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-0.8%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$1.130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$1.067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+5.9%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$3,063M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$3,068M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-0.2%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$1.011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$0.997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+1.4%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$2,971M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$3,035M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-2.1%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$1.498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$1.524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-1.7%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$4,118M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$3,604M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+14.3%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$0.956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$0.949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+0.7%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$2,838M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$2,862M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-0.8%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$1.186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$1.163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+2.0%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$3,221M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$3,118M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+3.3%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$1.120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$1.100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+1.8%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$3,370M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$2,628M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+28.3%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$1.728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$1.613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+7.1%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$4,504M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$4,075M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+10.5%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 xml:space="preserve">Source: Visible Alpha Consensus and Actuals Data. </w:t>
      </w:r>
      <w:r>
        <w:rPr>
          <w:rFonts w:ascii="Calibri" w:hAnsi="Calibri"/>
          <w:color w:val="525866"/>
          <w:sz w:val="22"/>
        </w:rPr>
        <w:t>ES has beaten operating EPS consensus in 7 of the last 8 quarters, with the lone miss in Q1 2025 being narrow (-1.7%). The pattern of consistent beats on operating EPS, combined with revenue beats driven by regulatory cost recovery timing, suggests the bar is typically set conservatively.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Guidance was revised downward in March 2026 following the FERC ROE decision and has not changed since; the Q1 call tone was confident and forward-looking, with management characterizing the FERC Section 205 filing and storm securitization as the key catalysts for re-accelerating growth toward the upper half of the 5–7% long-term range by 2028.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Calibri" w:hAnsi="Calibri"/>
                <w:b/>
                <w:sz w:val="22"/>
              </w:rPr>
              <w:t>Metric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sz w:val="22"/>
              </w:rPr>
              <w:t>Initial Guidance (Last Earnings Call — May 7, 2026)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sz w:val="22"/>
              </w:rPr>
              <w:t>Revised Guidance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sz w:val="22"/>
              </w:rPr>
              <w:t>Current Consensus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Operating EPS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$4.57–$4.72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$4.64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Guidance revised down from original range in March 2026 8-K following FERC ROE reduction; reaffirmed on Q1 call; consensus sits at midpoint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Long-Term EPS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5–7% off midpoint of revised 2026 guidance; upper half by 2028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2027 consensus: $4.92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Reaffirmed on Q1 call; 2027 consensus implies ~6% growth, consistent with lower half of range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5-Year CapEx Plan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$26.5B through 2030 (~$5.1B in 2026)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consensus: $4.94B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Reaffirmed; consensus slightly below guidance midpoint; management noted flexibility to reduce transmission CapEx if FERC ROE remains unfavorable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FFO/Debt (S&amp;P Metric)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Targeting ≥100 bps cushion above downgrade threshold throughout 5-year plan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consensus: ~12.9%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S&amp;P reaffirmed ratings and stable outlook post-FERC decision (April 10, 2026); Q1 2026 FFO/debt at 14.2% (S&amp;P) and 14.5% (Moody’s)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FERC Transmission Base ROE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Current guidance assumes 9.57% (reduced rate); Section 205 filing proposes 11.39%; guidance update for prospective ROE expected on Q4 2026 call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Settlement process expected to begin within 60 days of April 30 Section 205 filing; new rate expected toward end of 2026 on subject-to-refund basis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Aquarion Sale / Proceeds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Sale closed June 30, 2026 for $2.4B; ~$1.7B net equity proceeds to displace debt; ~$0.31/share after-tax non-cash charge in Q2 2026 GAAP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Closed as expected; charge is non-recurring and excluded from operating EPS guidance</w:t>
            </w:r>
          </w:p>
        </w:tc>
      </w:tr>
    </w:tbl>
    <w:p>
      <w:pPr>
        <w:pStyle w:val="Heading2"/>
      </w:pPr>
      <w:r>
        <w:rPr>
          <w:rFonts w:ascii="Calibri" w:hAnsi="Calibri"/>
          <w:b/>
          <w:color w:val="3B4259"/>
          <w:sz w:val="28"/>
        </w:rPr>
        <w:t>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Q2 2026 operating EPS estimates have drifted lower since the Q1 print (from ~$0.940 to ~$0.886), likely reflecting Aquarion-related noise and seasonal conservatism. Full-year 2026 consensus of $4.64 sits at the midpoint of management's revised guidance range, suggesting the street is not pricing in upside from the FERC Section 205 resolution or storm securitization — both of which could be positive catalysts in H2 2026.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KPI &amp; Period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Estimate (5 Days Post Q1 Earnings — ~May 13,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Current Consensus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Estimate Δ (%)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Initial Guidance (Q1 Call)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Current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Guidance Δ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sz w:val="22"/>
              </w:rPr>
              <w:t>Consensus vs. Guidance (%)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Operating EPS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$0.940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$0.886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-5.7%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quarterly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quarterly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Operating EPS — FY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$4.64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$4.64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0.0%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$4.57–$4.72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$4.57–$4.72 (unchanged)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At midpoint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Operating EPS — FY 2027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$4.92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$4.92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0.0%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5–7% growth off 2026 midpoint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Unchanged; upper half by 2028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~6% growth; lower half of range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Total Revenue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$2,873M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$2,919M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+1.6%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quarterly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quarterly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Total Revenue — FY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$13,226M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$13,744M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+3.9%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annual revenue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annual revenue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CapEx — FY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$5,171M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$4,941M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-4.4%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~$5.1B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~$5.1B (unchanged)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-3.3% below guidance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 xml:space="preserve">Source: Visible Alpha Consensus and Actuals Data. </w:t>
      </w:r>
      <w:r>
        <w:rPr>
          <w:rFonts w:ascii="Calibri" w:hAnsi="Calibri"/>
          <w:color w:val="525866"/>
          <w:sz w:val="22"/>
        </w:rPr>
        <w:t>The Q2 EPS estimate drift lower (-5.7% since the Q1 print) is consistent with seasonal patterns and Aquarion-related noise rather than a fundamental deterioration in the outlook. Full-year estimates are stable, and the street is not yet pricing in upside from the FERC Section 205 resolution or storm securitization proceeds — both of which management expects to materialize in H2 2026 and 2027.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ES has gained ~9% since the May 6 Q1 earnings date, outperforming XLU (+1.7%) and roughly in line with the S&amp;P 500 (+0.9%), driven primarily by multiple expansion (P/E up ~10% over 3 months) as the self-help narrative — Aquarion close, storm securitization progress, and FERC Section 205 filing — gained credibility. The stock is not cheap at ~15.9x NTM P/E, but the multiple is not stretched relative to regulated utility peers.</w:t>
      </w:r>
    </w:p>
    <w:p>
      <w:r>
        <w:drawing>
          <wp:inline xmlns:a="http://schemas.openxmlformats.org/drawingml/2006/main" xmlns:pic="http://schemas.openxmlformats.org/drawingml/2006/picture">
            <wp:extent cx="4572000" cy="3265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65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ES vs. XLU vs. S&amp;P 500 — Indexed to 100 at May 6, 2026 (Q1 2026 Earnings Date). Source: Yahoo Finance / Stock Price Data.</w:t>
      </w:r>
    </w:p>
    <w:p>
      <w:r>
        <w:rPr>
          <w:rFonts w:ascii="Calibri" w:hAnsi="Calibri"/>
          <w:b/>
          <w:color w:val="525866"/>
          <w:sz w:val="22"/>
        </w:rPr>
        <w:t xml:space="preserve">Performance since Q1 2026 earnings (May 6, 2026): </w:t>
      </w:r>
      <w:r>
        <w:rPr>
          <w:rFonts w:ascii="Calibri" w:hAnsi="Calibri"/>
          <w:color w:val="525866"/>
          <w:sz w:val="22"/>
        </w:rPr>
        <w:t>ES +9.0% | XLU +1.7% | SPY +0.9%. Key events: Aquarion sale closed June 30, 2026 (with ~$0.31/share non-cash GAAP charge); FERC Section 205 filing made April 30 proposing 11.39% base ROE; CT RAM decision (April 22) authorized $100M storm reserve. The stock re-rated higher through June as the Aquarion close removed a key overhang, then consolidated in July ahead of earnings. Sector ETF used: XLU (Utilities Select Sector SPDR Fund), which is the standard benchmark for regulated electric utilities.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The Aquarion sale close on June 30 is the most important development since Q1 earnings — it removes a multi-year overhang, delivers ~$1.7B in net proceeds to reduce debt, and confirms the balance sheet repair thesis. The FERC Section 205 settlement process is the next major catalyst.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June 30, 2026 — Aquarion Water Sale Closed for $2.4B.</w:t>
      </w:r>
      <w:r>
        <w:rPr>
          <w:rFonts w:ascii="Calibri" w:hAnsi="Calibri"/>
          <w:color w:val="525866"/>
          <w:sz w:val="22"/>
        </w:rPr>
        <w:t xml:space="preserve"> Eversource completed the sale of Aquarion Water Company to the Aquarion Water Authority (a quasi-public CT entity) for $2.4B in cash. Adjusted net equity proceeds of ~$1.7B will be used to displace debt. Q2 2026 GAAP results will include an after-tax non-cash non-recurring charge of ~$115M (~$0.31/share). Management has excluded this from operating EPS guidance.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Removes a multi-year regulatory and financing overhang; proceeds accelerate FFO/debt improvement and reduce equity issuance needs.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April 30, 2026 — FERC Section 205 Filing (Proposed ROE: 11.39%).</w:t>
      </w:r>
      <w:r>
        <w:rPr>
          <w:rFonts w:ascii="Calibri" w:hAnsi="Calibri"/>
          <w:color w:val="525866"/>
          <w:sz w:val="22"/>
        </w:rPr>
        <w:t xml:space="preserve"> Eversource filed with FERC to establish a new base transmission ROE of 11.39% (vs. the current 9.57% reduced rate), with an ROE cap of 12.89% on transmission investments. New rate expected to be implemented toward end of 2026 on a subject-to-refund basis within ~7 months of filing. Settlement process expected to begin within 60 days of filing, with parties including consumer advocates and AG offices from all six New England states.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If settled near the proposed rate, could add ~$70M+ in annual after-tax earnings vs. current guidance assumptions; management will update guidance on Q4 2026 call.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April 22, 2026 — Connecticut RAM Decision.</w:t>
      </w:r>
      <w:r>
        <w:rPr>
          <w:rFonts w:ascii="Calibri" w:hAnsi="Calibri"/>
          <w:color w:val="525866"/>
          <w:sz w:val="22"/>
        </w:rPr>
        <w:t xml:space="preserve"> PURA authorized a $100M reserve for storm restoration costs and approved use of forecast data for TPA rates, lowering customer rates while improving cash flow predictability.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Constructive regulatory signal from Connecticut; improves operating cash flow visibility.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April 10, 2026 — S&amp;P Reaffirmed Ratings and Stable Outlook.</w:t>
      </w:r>
      <w:r>
        <w:rPr>
          <w:rFonts w:ascii="Calibri" w:hAnsi="Calibri"/>
          <w:color w:val="525866"/>
          <w:sz w:val="22"/>
        </w:rPr>
        <w:t xml:space="preserve"> S&amp;P reaffirmed Eversource's credit ratings and stable outlook following the FERC ROE decision, citing the company's strong FFO/debt metrics (14.2% S&amp;P, 14.5% Moody's) and balance sheet improvement trajectory.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Removes near-term downgrade risk; supports financing strategy.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2026 (Expected) — Connecticut Storm Prudency Decision.</w:t>
      </w:r>
      <w:r>
        <w:rPr>
          <w:rFonts w:ascii="Calibri" w:hAnsi="Calibri"/>
          <w:color w:val="525866"/>
          <w:sz w:val="22"/>
        </w:rPr>
        <w:t xml:space="preserve"> PURA is expected to issue a final decision on the storm cost prudency review in July 2026. A favorable outcome would enable the legislative-backed securitization process for CT deferred storm costs. Combined CT and NH securitization proceeds of ~$2B expected within 12–18 months of the prudency decision.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This is the single most important near-term catalyst; a favorable ruling would be a significant positive for the stock.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2026 — CL&amp;P Rate Case Letter of Intent Filed.</w:t>
      </w:r>
      <w:r>
        <w:rPr>
          <w:rFonts w:ascii="Calibri" w:hAnsi="Calibri"/>
          <w:color w:val="525866"/>
          <w:sz w:val="22"/>
        </w:rPr>
        <w:t xml:space="preserve"> Eversource filed a letter of intent with PURA for the CL&amp;P rate case — the first rate review for Connecticut Light &amp; Power in approximately eight years.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Opens a multi-year regulatory process that could meaningfully improve Connecticut distribution earnings; management views this as an "incredible opportunity" to demonstrate reliability improvements.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Revolution Wind ~95% Complete (as of Q1 call).</w:t>
      </w:r>
      <w:r>
        <w:rPr>
          <w:rFonts w:ascii="Calibri" w:hAnsi="Calibri"/>
          <w:color w:val="525866"/>
          <w:sz w:val="22"/>
        </w:rPr>
        <w:t xml:space="preserve"> Commercial operation date targeted for H2 2026. First power was expected within weeks of the February 2026 call.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Completion removes the last major offshore wind overhang; contingent liability unchanged from Q3 2025.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29, 2026 — Sector Peers Reporting Q2 2026 Results.</w:t>
      </w:r>
      <w:r>
        <w:rPr>
          <w:rFonts w:ascii="Calibri" w:hAnsi="Calibri"/>
          <w:color w:val="525866"/>
          <w:sz w:val="22"/>
        </w:rPr>
        <w:t xml:space="preserve"> WEC Energy, Entergy, and FirstEnergy all reported Q2 2026 results on July 28–29, with all three reaffirming full-year guidance and citing strong load growth from data centers and industrial customers.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Positive read-through for sector sentiment heading into ES's print.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Peer Commentary &amp; Q2 2026 Read-Throughs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Q2 2026 peer earnings calls (July 22–29) delivered a uniformly constructive message for regulated utilities: load growth is accelerating (data centers + industrial), all major peers reaffirmed full-year guidance, and storm cost management is a shared focus. The read-through for ES is broadly positive — particularly on load growth validation and the sector-wide trend of constructive regulatory outcomes for large load tariffs. The FERC ROE issue is ES-specific and not a sector-wide headwind.</w:t>
      </w:r>
    </w:p>
    <w:p>
      <w:r>
        <w:rPr>
          <w:rFonts w:ascii="Calibri" w:hAnsi="Calibri"/>
          <w:b/>
          <w:color w:val="525866"/>
          <w:sz w:val="22"/>
        </w:rPr>
        <w:t xml:space="preserve">Note: </w:t>
      </w:r>
      <w:r>
        <w:rPr>
          <w:rFonts w:ascii="Calibri" w:hAnsi="Calibri"/>
          <w:i/>
          <w:color w:val="525866"/>
          <w:sz w:val="22"/>
        </w:rPr>
        <w:t>All commentary below is from Q2 2026 earnings calls and releases (July 22–29, 2026), addressing the current Q2 2026 reporting period or forward outlook. No prior-quarter commentary is included.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1. Load Growth &amp; Data Center Demand — Broad Sector Validation</w:t>
      </w:r>
    </w:p>
    <w:p>
      <w:r>
        <w:rPr>
          <w:rFonts w:ascii="Calibri" w:hAnsi="Calibri"/>
          <w:color w:val="525866"/>
          <w:sz w:val="22"/>
        </w:rPr>
        <w:t>The most consistent theme across Q2 2026 peer calls was accelerating power demand from data centers and industrial customers — directly validating ES's investment thesis in its high-growth New England service territory.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NextEra Energy (NEE, reported July 24): </w:t>
      </w:r>
      <w:r>
        <w:rPr>
          <w:rFonts w:ascii="Calibri" w:hAnsi="Calibri"/>
          <w:color w:val="525866"/>
          <w:sz w:val="22"/>
        </w:rPr>
        <w:t xml:space="preserve">"Power demand continues to accelerate." FPL increased its large load forecast from 6 GW to 8 GW by 2032 and has "roughly 21 GW of large load interest" in its pipeline. NEE beat Q2 EPS estimates ($1.15 vs. $1.11 consensus) and is targeting the high end of its $3.92–$4.02 FY 2026 guidance range.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Validates the secular demand tailwind for New England utilities; ES management has noted 2% weather-normalized load growth and is actively managing data center interconnection requests.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FirstEnergy (FE, reported July 28): </w:t>
      </w:r>
      <w:r>
        <w:rPr>
          <w:rFonts w:ascii="Calibri" w:hAnsi="Calibri"/>
          <w:color w:val="525866"/>
          <w:sz w:val="22"/>
        </w:rPr>
        <w:t xml:space="preserve">"Total forecasted data center demand has increased 30% since the first quarter to approximately 25 GW, and during the second quarter alone, we contracted an additional 2.1 GW, bringing our total contracted demand to 6.4 GW." Total weather-adjusted customer load increased ~2% in Q2. Reaffirmed FY 2026 core EPS guidance of $2.62–$2.82 and long-term growth near the top end of 6–8% through 2030.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2% weather-adjusted load growth is consistent with what ES has reported; the data center demand surge is a sector-wide tailwind.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DTE Energy (DTE, reported July 28): </w:t>
      </w:r>
      <w:r>
        <w:rPr>
          <w:rFonts w:ascii="Calibri" w:hAnsi="Calibri"/>
          <w:color w:val="525866"/>
          <w:sz w:val="22"/>
        </w:rPr>
        <w:t xml:space="preserve">The 1.4 GW Oracle data center is "fully approved and under construction"; executed a 1 GW agreement with Google; pipeline of 5–6 GW of additional opportunities. "On track to reach the high end of our operating EPS guidance this year."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Large load contracting momentum is real and accelerating; ES's opposition to data center additions (citing affordability concerns) is a differentiated stance that could be revisited if load growth benefits to existing customers become clearer.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WEC Energy (WEC, reported July 29): </w:t>
      </w:r>
      <w:r>
        <w:rPr>
          <w:rFonts w:ascii="Calibri" w:hAnsi="Calibri"/>
          <w:color w:val="525866"/>
          <w:sz w:val="22"/>
        </w:rPr>
        <w:t xml:space="preserve">Total weather-normal retail electric sales grew 4.2% in Q2, driven by large customers. Preparing to serve a "forecasted demand increase of 2.6 GW in this region through 2030" for Microsoft. Reaffirmed FY 2026 guidance of $5.51–$5.61/share and projects 7–8% long-term EPS growth.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Strong load growth is translating into earnings support across the sector; ES's 5–7% growth target looks conservative relative to peers with similar load tailwinds.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Entergy (ETR, reported July 29): </w:t>
      </w:r>
      <w:r>
        <w:rPr>
          <w:rFonts w:ascii="Calibri" w:hAnsi="Calibri"/>
          <w:color w:val="525866"/>
          <w:sz w:val="22"/>
        </w:rPr>
        <w:t xml:space="preserve">Pipeline of "7 to 12 GW of hyperscale data center potential" plus 3–5 GW of traditional industrial interest. Q2 industrial sales grew 10%. "Firmly on track to meet our 2026 adjusted EPS guidance and longer-term outlooks."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Industrial load growth is broad-based and not just data centers; validates the investment case for grid hardening and transmission expansion.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CenterPoint Energy (CNP, reported July 28): </w:t>
      </w:r>
      <w:r>
        <w:rPr>
          <w:rFonts w:ascii="Calibri" w:hAnsi="Calibri"/>
          <w:color w:val="525866"/>
          <w:sz w:val="22"/>
        </w:rPr>
        <w:t xml:space="preserve">Submitted "more than 17 GW of large load projects" into the ERCOT process; estimates large load customers will save existing customers "over $5 billion over the next decade." Reaffirmed FY 2026 guidance of $1.89–$1.91 and long-term growth at the mid-to-high end of 7–9% through 2028.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The affordability argument for large load tariffs (new customers subsidize existing customers) is gaining regulatory traction across the sector — relevant for ES's CL&amp;P rate case strategy.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2. Regulatory Outcomes &amp; Rate Case Activity — Constructive Sector Backdrop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Duke Energy (DUK, July 17 8-K): </w:t>
      </w:r>
      <w:r>
        <w:rPr>
          <w:rFonts w:ascii="Calibri" w:hAnsi="Calibri"/>
          <w:color w:val="525866"/>
          <w:sz w:val="22"/>
        </w:rPr>
        <w:t xml:space="preserve">Reached a comprehensive rate settlement with North Carolina regulators, cutting the proposed residential rate increase from ~18% to ~9.5% (5.9% in Year 1, 3.6% in Year 2). Settlement requires DUK shareholders to contribute $10M to low-income assistance.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Constructive regulatory outcomes are achievable even in politically sensitive environments; the affordability-focused settlement structure is a model ES may reference in its CL&amp;P rate case.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CMS Energy (CMS, reported July 28): </w:t>
      </w:r>
      <w:r>
        <w:rPr>
          <w:rFonts w:ascii="Calibri" w:hAnsi="Calibri"/>
          <w:color w:val="525866"/>
          <w:sz w:val="22"/>
        </w:rPr>
        <w:t xml:space="preserve">Filed an electric rate case in June requesting a "$456 million revenue increase, a 10.25% ROE and a 51.75% equity ratio." Reaffirmed FY 2026 guidance of $3.83–$3.90/share with "continued confidence toward the high end." Forecasted 2027 adjusted EPS of $4.08–$4.17 (midpoint slightly below consensus).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10.25% ROE request in a rate case is consistent with the range ES is seeking in its FERC Section 205 filing (11.39%); constructive regulatory environment for ROE recovery.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PG&amp;E (PCG, reported July 22–23): </w:t>
      </w:r>
      <w:r>
        <w:rPr>
          <w:rFonts w:ascii="Calibri" w:hAnsi="Calibri"/>
          <w:color w:val="525866"/>
          <w:sz w:val="22"/>
        </w:rPr>
        <w:t xml:space="preserve">Beat Q2 EPS estimates (40 cents vs. 36 cents consensus) driven by higher rates and data center demand. Data center pipeline grew to "over 12 GW" in Q2. S&amp;P upgraded PCG's rating, placing it "just one notch below investment grade." Filed for "interim rate recovery effective January 2027" to prevent a customer rate spike.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Credit rating upgrades driven by operational execution and wildfire risk reduction are analogous to ES's credit improvement story driven by storm cost recovery and balance sheet repair.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American Water Works (AWK, reported July 29): </w:t>
      </w:r>
      <w:r>
        <w:rPr>
          <w:rFonts w:ascii="Calibri" w:hAnsi="Calibri"/>
          <w:color w:val="525866"/>
          <w:sz w:val="22"/>
        </w:rPr>
        <w:t xml:space="preserve">PaPUC issued a decision on the Pennsylvania American Water rate case (July 16 8-K). AWK reported Q2 2026 results on July 29.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Directly relevant as the acquirer of Aquarion Water; AWK's continued regulatory engagement confirms the water utility sector remains constructive, validating ES's decision to exit at a favorable price.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3. Storm Costs &amp; Grid Reliability — Shared Sector Challenge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CMS Energy (Q2 2026 call): </w:t>
      </w:r>
      <w:r>
        <w:rPr>
          <w:rFonts w:ascii="Calibri" w:hAnsi="Calibri"/>
          <w:color w:val="525866"/>
          <w:sz w:val="22"/>
        </w:rPr>
        <w:t xml:space="preserve">"So far this year, the primary headwind has been the impact of storms," driving an unfavorable O&amp;M variance of $0.19. CMS is pursuing a "pending storm referral filed with the commission" to offset costs.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Storm costs are a sector-wide challenge; ES's pending CT storm prudency decision (expected July 2026) is the key mechanism for recovery. CMS's approach of filing for regulatory recovery is consistent with ES's strategy.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DTE Energy (Q2 2026 call): </w:t>
      </w:r>
      <w:r>
        <w:rPr>
          <w:rFonts w:ascii="Calibri" w:hAnsi="Calibri"/>
          <w:color w:val="525866"/>
          <w:sz w:val="22"/>
        </w:rPr>
        <w:t xml:space="preserve">A "severe, fast moving storm" in early July impacted "nearly 400,000 customers." Notably, "areas where we have completed substantial reliability investments performed significantly better, reinforcing the value of continued grid investment."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Validates ES's capital investment thesis — grid hardening reduces storm restoration costs and supports the regulatory case for continued CapEx.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Entergy (Q2 2026 call): </w:t>
      </w:r>
      <w:r>
        <w:rPr>
          <w:rFonts w:ascii="Calibri" w:hAnsi="Calibri"/>
          <w:color w:val="525866"/>
          <w:sz w:val="22"/>
        </w:rPr>
        <w:t xml:space="preserve">Experienced "two minor tropical storms" with "nominal" costs. Investing in resilience including reinforcing poles to withstand "150 mph" winds and deploying a "Self-Healing Network program" that has "avoided more than 700,000 customer interruptions."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Technology-driven reliability improvements are becoming a sector standard; ES's top-decile reliability performance is a competitive advantage in regulatory proceedings.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4. Capital Plans &amp; Financing — Sector-Wide Investment Acceleration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Sector-Wide CapEx Reaffirmation: </w:t>
      </w:r>
      <w:r>
        <w:rPr>
          <w:rFonts w:ascii="Calibri" w:hAnsi="Calibri"/>
          <w:color w:val="525866"/>
          <w:sz w:val="22"/>
        </w:rPr>
        <w:t xml:space="preserve">All major peers reaffirmed multi-billion dollar 5-year capital plans: FE ($36B), WEC ($37.5B), CNP ($66.7B through 2035), CMS ($24B), PCG ($73B through 2030). ES's $26.5B plan through 2030 is proportionally consistent with the sector.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Capital markets are supportive of large utility CapEx programs; ES's financing strategy (junior subordinated notes, potential minority interest structures, storm securitization) is well-positioned.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Equity Issuance Approaches Vary: </w:t>
      </w:r>
      <w:r>
        <w:rPr>
          <w:rFonts w:ascii="Calibri" w:hAnsi="Calibri"/>
          <w:color w:val="525866"/>
          <w:sz w:val="22"/>
        </w:rPr>
        <w:t xml:space="preserve">PCG and CNP both noted their capital plans "do not require additional equity financing"; DTE is targeting $500–$600M annual equity issuances; WEC expects ~$1.1B of common equity in 2026. ES's $800M–$1.1B equity need over 5 years is modest relative to peers.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ES's equity needs are manageable and partially offset by storm securitization proceeds; the "no urgency" messaging from Q1 is consistent with the sector trend of utilities finding alternative financing solutions.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FFO/Debt Targets: </w:t>
      </w:r>
      <w:r>
        <w:rPr>
          <w:rFonts w:ascii="Calibri" w:hAnsi="Calibri"/>
          <w:color w:val="525866"/>
          <w:sz w:val="22"/>
        </w:rPr>
        <w:t xml:space="preserve">DTE targets ~15% FFO/debt; ETR targets FFO/debt "at or above 15%" throughout the outlook period. ES's Q1 2026 FFO/debt of 14.2% (S&amp;P) and 14.5% (Moody's) is slightly below these peers but above downgrade thresholds. </w:t>
      </w:r>
      <w:r>
        <w:rPr>
          <w:rFonts w:ascii="Calibri" w:hAnsi="Calibri"/>
          <w:b/>
          <w:color w:val="525866"/>
          <w:sz w:val="22"/>
        </w:rPr>
        <w:t xml:space="preserve">ES Read-Through: </w:t>
      </w:r>
      <w:r>
        <w:rPr>
          <w:rFonts w:ascii="Calibri" w:hAnsi="Calibri"/>
          <w:color w:val="525866"/>
          <w:sz w:val="22"/>
        </w:rPr>
        <w:t>ES's credit metrics are improving but still trail best-in-class peers; storm securitization proceeds are the key mechanism to close the gap.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Key Risks &amp; Earnings Questions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Key Risks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Connecticut Storm Prudency Decision Delay or Adverse Outcome.</w:t>
      </w:r>
      <w:r>
        <w:rPr>
          <w:rFonts w:ascii="Calibri" w:hAnsi="Calibri"/>
          <w:color w:val="525866"/>
          <w:sz w:val="22"/>
        </w:rPr>
        <w:t xml:space="preserve"> A PURA ruling that disallows a material portion of deferred storm costs would reduce the expected ~$2B securitization proceeds and delay the FFO/debt improvement trajectory. This is the single largest binary risk heading into the print.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FERC Section 205 Settlement Risk.</w:t>
      </w:r>
      <w:r>
        <w:rPr>
          <w:rFonts w:ascii="Calibri" w:hAnsi="Calibri"/>
          <w:color w:val="525866"/>
          <w:sz w:val="22"/>
        </w:rPr>
        <w:t xml:space="preserve"> If the settlement process results in a prospective ROE materially below the proposed 11.39% (e.g., closer to the current 9.57%), the earnings uplift from the Section 205 filing would be limited. Management has indicated willingness to reduce transmission CapEx if the ROE environment remains unfavorable.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Connecticut Regulatory Environment.</w:t>
      </w:r>
      <w:r>
        <w:rPr>
          <w:rFonts w:ascii="Calibri" w:hAnsi="Calibri"/>
          <w:color w:val="525866"/>
          <w:sz w:val="22"/>
        </w:rPr>
        <w:t xml:space="preserve"> The CL&amp;P rate case is the first in ~8 years; an adverse outcome or prolonged process could delay the earnings inflection management is targeting by 2028. PURA's track record has been mixed, though the tone has improved with new commissioners.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Equity Issuance Timing.</w:t>
      </w:r>
      <w:r>
        <w:rPr>
          <w:rFonts w:ascii="Calibri" w:hAnsi="Calibri"/>
          <w:color w:val="525866"/>
          <w:sz w:val="22"/>
        </w:rPr>
        <w:t xml:space="preserve"> While management has stated "no urgency" to issue equity, the $800M–$1.1B equity need over 5 years remains. If storm securitization proceeds are delayed, equity issuance could come sooner than expected and be dilutive.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Revolution Wind Contingent Liability.</w:t>
      </w:r>
      <w:r>
        <w:rPr>
          <w:rFonts w:ascii="Calibri" w:hAnsi="Calibri"/>
          <w:color w:val="525866"/>
          <w:sz w:val="22"/>
        </w:rPr>
        <w:t xml:space="preserve"> The contingent liability related to the offshore wind exit has been unchanged since Q3 2025. Any adverse development in the final cost settlement could result in an unexpected charge.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Interest Rate Sensitivity.</w:t>
      </w:r>
      <w:r>
        <w:rPr>
          <w:rFonts w:ascii="Calibri" w:hAnsi="Calibri"/>
          <w:color w:val="525866"/>
          <w:sz w:val="22"/>
        </w:rPr>
        <w:t xml:space="preserve"> As a capital-intensive regulated utility with significant debt, ES is sensitive to interest rate movements. Higher-for-longer rates increase financing costs and compress the dividend yield spread that supports utility valuations.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Key Questions for the Earnings Call</w:t>
      </w:r>
    </w:p>
    <w:p>
      <w:pPr>
        <w:pStyle w:val="ListNumber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Connecticut Storm Prudency Decision: </w:t>
      </w:r>
      <w:r>
        <w:rPr>
          <w:rFonts w:ascii="Calibri" w:hAnsi="Calibri"/>
          <w:color w:val="525866"/>
          <w:sz w:val="22"/>
        </w:rPr>
        <w:t>Has PURA issued the storm prudency decision? What is the timeline for the CT securitization filing, and what is the expected recovery amount?</w:t>
      </w:r>
    </w:p>
    <w:p>
      <w:pPr>
        <w:pStyle w:val="ListNumber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FERC Section 205 Update: </w:t>
      </w:r>
      <w:r>
        <w:rPr>
          <w:rFonts w:ascii="Calibri" w:hAnsi="Calibri"/>
          <w:color w:val="525866"/>
          <w:sz w:val="22"/>
        </w:rPr>
        <w:t>Has the settlement judge been appointed? What is management's current expectation for the prospective ROE and implementation timeline? Any update to the Q4 2026 guidance revision timeline?</w:t>
      </w:r>
    </w:p>
    <w:p>
      <w:pPr>
        <w:pStyle w:val="ListNumber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Aquarion Proceeds Deployment: </w:t>
      </w:r>
      <w:r>
        <w:rPr>
          <w:rFonts w:ascii="Calibri" w:hAnsi="Calibri"/>
          <w:color w:val="525866"/>
          <w:sz w:val="22"/>
        </w:rPr>
        <w:t>How are the ~$1.7B net proceeds being deployed? What is the expected impact on FFO/debt metrics in H2 2026?</w:t>
      </w:r>
    </w:p>
    <w:p>
      <w:pPr>
        <w:pStyle w:val="ListNumber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CL&amp;P Rate Case Progress: </w:t>
      </w:r>
      <w:r>
        <w:rPr>
          <w:rFonts w:ascii="Calibri" w:hAnsi="Calibri"/>
          <w:color w:val="525866"/>
          <w:sz w:val="22"/>
        </w:rPr>
        <w:t>What is the status of the CL&amp;P rate case following the letter of intent filing? What is the expected timeline for a final decision, and what ROE and equity ratio is ES requesting?</w:t>
      </w:r>
    </w:p>
    <w:p>
      <w:pPr>
        <w:pStyle w:val="ListNumber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Load Growth in New England: </w:t>
      </w:r>
      <w:r>
        <w:rPr>
          <w:rFonts w:ascii="Calibri" w:hAnsi="Calibri"/>
          <w:color w:val="525866"/>
          <w:sz w:val="22"/>
        </w:rPr>
        <w:t>What is the current weather-normalized load growth rate in Q2? Has ES seen any change in data center interconnection requests, and has management's stance on large load additions evolved?</w:t>
      </w:r>
    </w:p>
    <w:p>
      <w:pPr>
        <w:pStyle w:val="ListNumber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Revolution Wind Final Close: </w:t>
      </w:r>
      <w:r>
        <w:rPr>
          <w:rFonts w:ascii="Calibri" w:hAnsi="Calibri"/>
          <w:color w:val="525866"/>
          <w:sz w:val="22"/>
        </w:rPr>
        <w:t>Has commercial operation been achieved? What is the status of the contingent liability, and is there any update to the expected final cost settlement?</w:t>
      </w:r>
    </w:p>
    <w:p>
      <w:pPr>
        <w:pStyle w:val="ListNumber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Equity Financing Update: </w:t>
      </w:r>
      <w:r>
        <w:rPr>
          <w:rFonts w:ascii="Calibri" w:hAnsi="Calibri"/>
          <w:color w:val="525866"/>
          <w:sz w:val="22"/>
        </w:rPr>
        <w:t>Given the Aquarion proceeds and storm securitization progress, has the $800M–$1.1B equity need over 5 years changed? Is management still evaluating minority interest or minority-like capital structures?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