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s-earnings-predictions--2026-07-29"/>
    <w:p>
      <w:pPr>
        <w:pStyle w:val="Heading1"/>
      </w:pPr>
      <w:r>
        <w:t xml:space="preserve">ESS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Core FFO /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~$4.03 vs. cons $3.99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Same-property revenue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~+3.0% vs. cons ~+2.6%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Same-property NOI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~+3.6% vs. cons ~+2.8%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~$16.05 vs. cons $15.94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~+2.6% vs. prior/cons +2.4%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NOI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~+2.5% vs. prior/cons +2.1%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Peak-season blended lease rate (Q2/Q3)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blend ~+3.5% vs. FY implied ~+2.5% (Q2/Q3)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A modest beat plus a small revenue/FFO guide raise supports a positive day-1 pop, but ESS is near all-time highs at a sub-6% implied cap with expectations already elevated, capping upside. Out-period math tempers follow-through: guided H2 controllable-opex reversal (~</w:t>
            </w:r>
            <m:oMath>
              <m:r>
                <m:t>0.04</m:t>
              </m:r>
              <m:r>
                <m:t>t</m:t>
              </m:r>
              <m:r>
                <m:t>i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Q</m:t>
              </m:r>
              <m:r>
                <m:t>1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0.07 structured-finance redemption headwind mean the raise is largely front-half-driven, so forward FFO revisions rise only marginally. Net: day-1 gains hold rather than extend — stabilize, with fade risk if the revenue guide is merely reaffirmed or capital allocation (paused buyback) disappoints.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2026-07-29T01:57:57Z</dcterms:created>
  <dcterms:modified xsi:type="dcterms:W3CDTF">2026-07-29T01:57:57Z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