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ESS (Essex Property Trust) to build this earnings preview. Let me gather recent filings, transcripts, and news.Let me read the most recent earnings materials and check broader news.Let me get recent stock price action and any recent news/macro context.I have what I need. Here's the earnings preview.</w:t>
      </w:r>
    </w:p>
    <w:p>
      <w:r>
        <w:pict>
          <v:rect style="width:0;height:1.5pt" o:hralign="center" o:hrstd="t" o:hr="t"/>
        </w:pict>
      </w:r>
    </w:p>
    <w:bookmarkStart w:id="20" w:name="Xc37e169ce064265084dd0204a5b6cd15d8d4123"/>
    <w:p>
      <w:pPr>
        <w:pStyle w:val="Heading1"/>
      </w:pPr>
      <w:r>
        <w:t xml:space="preserve">Essex Property Trust (ESS) — Q2 2026 Earnings Preview</w:t>
      </w:r>
    </w:p>
    <w:bookmarkStart w:id="9" w:name="X4ecfbf2130a516375c8c57e93050092a123ca30"/>
    <w:p>
      <w:pPr>
        <w:pStyle w:val="Heading3"/>
      </w:pPr>
      <w:r>
        <w:t xml:space="preserve">Reports after the close ahead of the 2026Q2 Earnings Call (July 29, 2026)</w:t>
      </w:r>
    </w:p>
    <w:bookmarkEnd w:id="9"/>
    <w:bookmarkStart w:id="10" w:name="the-setup-in-one-line"/>
    <w:p>
      <w:pPr>
        <w:pStyle w:val="Heading2"/>
      </w:pPr>
      <w:r>
        <w:t xml:space="preserve">The setup in one line</w:t>
      </w:r>
    </w:p>
    <w:p>
      <w:pPr>
        <w:pStyle w:val="FirstParagraph"/>
      </w:pPr>
      <w:r>
        <w:t xml:space="preserve">Essex enters its most important print of the year — peak leasing season — with momentum, a fully-reaffirmed guide it has quietly been out-earning, and a stock that has already re-rated hard. The bar has moved up: the debate is no longer whether ESS beats, but whether West Coast fundamentals are strong enough to justify a stock trading near all-time highs and a sub-6% implied cap rate.</w:t>
      </w:r>
    </w:p>
    <w:p>
      <w:r>
        <w:pict>
          <v:rect style="width:0;height:1.5pt" o:hralign="center" o:hrstd="t" o:hr="t"/>
        </w:pict>
      </w:r>
    </w:p>
    <w:bookmarkEnd w:id="10"/>
    <w:bookmarkStart w:id="11" w:name="Xf98ee68c8d77bc643e0cfd9387fed65bf8ba2c4"/>
    <w:p>
      <w:pPr>
        <w:pStyle w:val="Heading2"/>
      </w:pPr>
      <w:r>
        <w:t xml:space="preserve">1. Where the stock is going in</w:t>
      </w:r>
    </w:p>
    <w:p>
      <w:pPr>
        <w:pStyle w:val="FirstParagraph"/>
      </w:pPr>
      <w:r>
        <w:t xml:space="preserve">ESS has been a standout in 2026. Shares opened the year around</w:t>
      </w:r>
      <w:r>
        <w:t xml:space="preserve"> </w:t>
      </w:r>
      <m:oMath>
        <m:r>
          <m:t>257</m:t>
        </m:r>
        <m:r>
          <m:rPr>
            <m:sty m:val="p"/>
          </m:rPr>
          <m:t>*</m:t>
        </m:r>
        <m:r>
          <m:rPr>
            <m:sty m:val="p"/>
          </m:rPr>
          <m:t>*</m:t>
        </m:r>
        <m:r>
          <m:rPr>
            <m:sty m:val="p"/>
          </m:rPr>
          <m:t>,</m:t>
        </m:r>
        <m:r>
          <m:t>b</m:t>
        </m:r>
        <m:r>
          <m:t>o</m:t>
        </m:r>
        <m:r>
          <m:t>t</m:t>
        </m:r>
        <m:r>
          <m:t>t</m:t>
        </m:r>
        <m:r>
          <m:t>o</m:t>
        </m:r>
        <m:r>
          <m:t>m</m:t>
        </m:r>
        <m:r>
          <m:t>e</m:t>
        </m:r>
        <m:r>
          <m:t>d</m:t>
        </m:r>
        <m:r>
          <m:t>n</m:t>
        </m:r>
        <m:r>
          <m:t>e</m:t>
        </m:r>
        <m:r>
          <m:t>a</m:t>
        </m:r>
        <m:r>
          <m:t>r</m:t>
        </m:r>
        <m:r>
          <m:rPr>
            <m:sty m:val="p"/>
          </m:rPr>
          <m:t>*</m:t>
        </m:r>
        <m:r>
          <m:rPr>
            <m:sty m:val="p"/>
          </m:rPr>
          <m:t>*</m:t>
        </m:r>
      </m:oMath>
      <w:r>
        <w:rPr>
          <w:b/>
          <w:bCs/>
        </w:rPr>
        <w:t xml:space="preserve">240</w:t>
      </w:r>
      <w:r>
        <w:t xml:space="preserve"> </w:t>
      </w:r>
      <w:r>
        <w:t xml:space="preserve">in late March, then inflected sharply on the strong Q1 print (the stock jumped from ~</w:t>
      </w:r>
      <m:oMath>
        <m:r>
          <m:t>257</m:t>
        </m:r>
        <m:r>
          <m:t>t</m:t>
        </m:r>
        <m:r>
          <m:t>o</m:t>
        </m:r>
        <m:r>
          <m:t> </m:t>
        </m:r>
      </m:oMath>
      <w:r>
        <w:t xml:space="preserve">268 the day of the April release) and have since climbed steadily to **~$294** as of July 28 — roughly</w:t>
      </w:r>
      <w:r>
        <w:t xml:space="preserve"> </w:t>
      </w:r>
      <w:r>
        <w:rPr>
          <w:b/>
          <w:bCs/>
        </w:rPr>
        <w:t xml:space="preserve">+15% YTD</w:t>
      </w:r>
      <w:r>
        <w:t xml:space="preserve"> </w:t>
      </w:r>
      <w:r>
        <w:t xml:space="preserve">and near 52-week highs.</w:t>
      </w:r>
    </w:p>
    <w:p>
      <w:pPr>
        <w:pStyle w:val="BodyText"/>
      </w:pPr>
      <w:r>
        <w:t xml:space="preserve">Two implications for tomorrow:</w:t>
      </w:r>
    </w:p>
    <w:p>
      <w:pPr>
        <w:pStyle w:val="Compact"/>
        <w:numPr>
          <w:ilvl w:val="0"/>
          <w:numId w:val="1001"/>
        </w:numPr>
      </w:pPr>
      <w:r>
        <w:rPr>
          <w:b/>
          <w:bCs/>
        </w:rPr>
        <w:t xml:space="preserve">The easy money on the "cheap stock" thesis is gone.</w:t>
      </w:r>
      <w:r>
        <w:t xml:space="preserve"> </w:t>
      </w:r>
      <w:r>
        <w:t xml:space="preserve">Management bought back</w:t>
      </w:r>
      <w:r>
        <w:t xml:space="preserve"> </w:t>
      </w:r>
      <w:r>
        <w:rPr>
          <w:b/>
          <w:bCs/>
        </w:rPr>
        <w:t xml:space="preserve">~$62M of stock at an average of</w:t>
      </w:r>
      <w:r>
        <w:rPr>
          <w:b/>
          <w:bCs/>
        </w:rPr>
        <w:t xml:space="preserve"> </w:t>
      </w:r>
      <m:oMath>
        <m:r>
          <m:t>243.76</m:t>
        </m:r>
        <m:r>
          <m:rPr>
            <m:sty m:val="p"/>
          </m:rPr>
          <m:t>*</m:t>
        </m:r>
        <m:r>
          <m:rPr>
            <m:sty m:val="p"/>
          </m:rPr>
          <m:t>*</m:t>
        </m:r>
        <m:r>
          <m:t>i</m:t>
        </m:r>
        <m:r>
          <m:t>n</m:t>
        </m:r>
        <m:r>
          <m:t>Q</m:t>
        </m:r>
        <m:r>
          <m:t>1</m:t>
        </m:r>
        <m:r>
          <m:rPr>
            <m:sty m:val="p"/>
          </m:rPr>
          <m:t>,</m:t>
        </m:r>
        <m:r>
          <m:t>c</m:t>
        </m:r>
        <m:r>
          <m:t>i</m:t>
        </m:r>
        <m:r>
          <m:t>t</m:t>
        </m:r>
        <m:r>
          <m:t>i</m:t>
        </m:r>
        <m:r>
          <m:t>n</m:t>
        </m:r>
        <m:r>
          <m:t>g</m:t>
        </m:r>
        <m:r>
          <m:t>a</m:t>
        </m:r>
        <m:r>
          <m:t> </m:t>
        </m:r>
        <m:r>
          <m:t>6</m:t>
        </m:r>
      </m:oMath>
      <w:r>
        <w:rPr>
          <w:b/>
          <w:bCs/>
        </w:rPr>
        <w:t xml:space="preserve">240.8M of buyback authority</w:t>
      </w:r>
      <w:r>
        <w:t xml:space="preserve"> </w:t>
      </w:r>
      <w:r>
        <w:t xml:space="preserve">remaining as of late April).</w:t>
      </w:r>
    </w:p>
    <w:p>
      <w:pPr>
        <w:pStyle w:val="Compact"/>
        <w:numPr>
          <w:ilvl w:val="0"/>
          <w:numId w:val="1001"/>
        </w:numPr>
      </w:pPr>
      <w:r>
        <w:rPr>
          <w:b/>
          <w:bCs/>
        </w:rPr>
        <w:t xml:space="preserve">Expectations are elevated.</w:t>
      </w:r>
      <w:r>
        <w:t xml:space="preserve"> </w:t>
      </w:r>
      <w:r>
        <w:t xml:space="preserve">A simple in-line beat may not be enough; investors will focus on the guidance raise and forward leasing commentary.</w:t>
      </w:r>
    </w:p>
    <w:p>
      <w:r>
        <w:pict>
          <v:rect style="width:0;height:1.5pt" o:hralign="center" o:hrstd="t" o:hr="t"/>
        </w:pict>
      </w:r>
    </w:p>
    <w:bookmarkEnd w:id="11"/>
    <w:bookmarkStart w:id="12" w:name="X7fbde066ed598cc2572198fa01e6432e3a0db4d"/>
    <w:p>
      <w:pPr>
        <w:pStyle w:val="Heading2"/>
      </w:pPr>
      <w:r>
        <w:t xml:space="preserve">2. What the numbers should look like</w:t>
      </w:r>
    </w:p>
    <w:p>
      <w:pPr>
        <w:pStyle w:val="FirstParagraph"/>
      </w:pPr>
      <w:r>
        <w:t xml:space="preserve">For Q2, management guided to</w:t>
      </w:r>
      <w:r>
        <w:t xml:space="preserve"> </w:t>
      </w:r>
      <w:r>
        <w:rPr>
          <w:b/>
          <w:bCs/>
        </w:rPr>
        <w:t xml:space="preserve">Core FFO of</w:t>
      </w:r>
      <w:r>
        <w:rPr>
          <w:b/>
          <w:bCs/>
        </w:rPr>
        <w:t xml:space="preserve"> </w:t>
      </w:r>
      <m:oMath>
        <m:r>
          <m:t>3.92</m:t>
        </m:r>
        <m:r>
          <m:rPr>
            <m:sty m:val="p"/>
          </m:rPr>
          <m:t>–</m:t>
        </m:r>
      </m:oMath>
      <w:r>
        <w:rPr>
          <w:b/>
          <w:bCs/>
        </w:rPr>
        <w:t xml:space="preserve">4.04 (midpoint</w:t>
      </w:r>
      <w:r>
        <w:rPr>
          <w:b/>
          <w:bCs/>
        </w:rPr>
        <w:t xml:space="preserve"> </w:t>
      </w:r>
      <m:oMath>
        <m:r>
          <m:t>3.98</m:t>
        </m:r>
        <m:r>
          <m:rPr>
            <m:sty m:val="p"/>
          </m:rPr>
          <m:t>)</m:t>
        </m:r>
        <m:r>
          <m:rPr>
            <m:sty m:val="p"/>
          </m:rPr>
          <m:t>*</m:t>
        </m:r>
        <m:r>
          <m:rPr>
            <m:sty m:val="p"/>
          </m:rPr>
          <m:t>*</m:t>
        </m:r>
        <m:r>
          <m:rPr>
            <m:sty m:val="p"/>
          </m:rPr>
          <m:t>,</m:t>
        </m:r>
        <m:r>
          <m:t>w</m:t>
        </m:r>
        <m:r>
          <m:t>h</m:t>
        </m:r>
        <m:r>
          <m:t>i</m:t>
        </m:r>
        <m:r>
          <m:t>c</m:t>
        </m:r>
        <m:r>
          <m:t>h</m:t>
        </m:r>
        <m:r>
          <m:t>w</m:t>
        </m:r>
        <m:r>
          <m:t>o</m:t>
        </m:r>
        <m:r>
          <m:t>u</m:t>
        </m:r>
        <m:r>
          <m:t>l</m:t>
        </m:r>
        <m:r>
          <m:t>d</m:t>
        </m:r>
        <m:r>
          <m:t>b</m:t>
        </m:r>
        <m:r>
          <m:t>e</m:t>
        </m:r>
        <m:r>
          <m:t>r</m:t>
        </m:r>
        <m:r>
          <m:t>o</m:t>
        </m:r>
        <m:r>
          <m:t>u</m:t>
        </m:r>
        <m:r>
          <m:t>g</m:t>
        </m:r>
        <m:r>
          <m:t>h</m:t>
        </m:r>
        <m:r>
          <m:t>l</m:t>
        </m:r>
        <m:r>
          <m:t>y</m:t>
        </m:r>
        <m:r>
          <m:t>f</m:t>
        </m:r>
        <m:r>
          <m:t>l</m:t>
        </m:r>
        <m:r>
          <m:t>a</m:t>
        </m:r>
        <m:r>
          <m:t>t</m:t>
        </m:r>
        <m:r>
          <m:rPr>
            <m:sty m:val="p"/>
          </m:rPr>
          <m:t>−</m:t>
        </m:r>
        <m:r>
          <m:t>t</m:t>
        </m:r>
        <m:r>
          <m:t>o</m:t>
        </m:r>
        <m:r>
          <m:rPr>
            <m:sty m:val="p"/>
          </m:rPr>
          <m:t>−</m:t>
        </m:r>
        <m:r>
          <m:t>m</m:t>
        </m:r>
        <m:r>
          <m:t>o</m:t>
        </m:r>
        <m:r>
          <m:t>d</m:t>
        </m:r>
        <m:r>
          <m:t>e</m:t>
        </m:r>
        <m:r>
          <m:t>s</m:t>
        </m:r>
        <m:r>
          <m:t>t</m:t>
        </m:r>
        <m:r>
          <m:t>l</m:t>
        </m:r>
        <m:r>
          <m:t>y</m:t>
        </m:r>
        <m:r>
          <m:rPr>
            <m:sty m:val="p"/>
          </m:rPr>
          <m:t>−</m:t>
        </m:r>
        <m:r>
          <m:t>u</m:t>
        </m:r>
        <m:r>
          <m:t>p</m:t>
        </m:r>
        <m:r>
          <m:t>s</m:t>
        </m:r>
        <m:r>
          <m:t>e</m:t>
        </m:r>
        <m:r>
          <m:t>q</m:t>
        </m:r>
        <m:r>
          <m:t>u</m:t>
        </m:r>
        <m:r>
          <m:t>e</m:t>
        </m:r>
        <m:r>
          <m:t>n</m:t>
        </m:r>
        <m:r>
          <m:t>t</m:t>
        </m:r>
        <m:r>
          <m:t>i</m:t>
        </m:r>
        <m:r>
          <m:t>a</m:t>
        </m:r>
        <m:r>
          <m:t>l</m:t>
        </m:r>
        <m:r>
          <m:t>l</m:t>
        </m:r>
        <m:r>
          <m:t>y</m:t>
        </m:r>
        <m:r>
          <m:t>f</m:t>
        </m:r>
        <m:r>
          <m:t>r</m:t>
        </m:r>
        <m:r>
          <m:t>o</m:t>
        </m:r>
        <m:r>
          <m:t>m</m:t>
        </m:r>
        <m:r>
          <m:t>Q</m:t>
        </m:r>
        <m:sSup>
          <m:e>
            <m:r>
              <m:t>1</m:t>
            </m:r>
          </m:e>
          <m:sup>
            <m:r>
              <m:rPr>
                <m:sty m:val="p"/>
              </m:rPr>
              <m:t>′</m:t>
            </m:r>
          </m:sup>
        </m:sSup>
        <m:r>
          <m:t>s</m:t>
        </m:r>
        <m:r>
          <m:t>r</m:t>
        </m:r>
        <m:r>
          <m:t>e</m:t>
        </m:r>
        <m:r>
          <m:t>p</m:t>
        </m:r>
        <m:r>
          <m:t>o</m:t>
        </m:r>
        <m:r>
          <m:t>r</m:t>
        </m:r>
        <m:r>
          <m:t>t</m:t>
        </m:r>
        <m:r>
          <m:t>e</m:t>
        </m:r>
        <m:r>
          <m:t>d</m:t>
        </m:r>
        <m:r>
          <m:rPr>
            <m:sty m:val="p"/>
          </m:rPr>
          <m:t>*</m:t>
        </m:r>
        <m:r>
          <m:rPr>
            <m:sty m:val="p"/>
          </m:rPr>
          <m:t>*</m:t>
        </m:r>
      </m:oMath>
      <w:r>
        <w:rPr>
          <w:b/>
          <w:bCs/>
        </w:rPr>
        <w:t xml:space="preserve">4.06</w:t>
      </w:r>
      <w:r>
        <w:t xml:space="preserve"> </w:t>
      </w:r>
      <w:r>
        <w:t xml:space="preserve">(Q1 included ~$0.09 of same-property NOI beat).</w:t>
      </w:r>
    </w:p>
    <w:p>
      <w:pPr>
        <w:pStyle w:val="BodyText"/>
      </w:pPr>
      <w:r>
        <w:t xml:space="preserve">Full-year guidance was</w:t>
      </w:r>
      <w:r>
        <w:t xml:space="preserve"> </w:t>
      </w:r>
      <w:r>
        <w:rPr>
          <w:b/>
          <w:bCs/>
        </w:rPr>
        <w:t xml:space="preserve">reaffirmed at Core FFO of</w:t>
      </w:r>
      <w:r>
        <w:rPr>
          <w:b/>
          <w:bCs/>
        </w:rPr>
        <w:t xml:space="preserve"> </w:t>
      </w:r>
      <m:oMath>
        <m:r>
          <m:t>15.69</m:t>
        </m:r>
        <m:r>
          <m:rPr>
            <m:sty m:val="p"/>
          </m:rPr>
          <m:t>–</m:t>
        </m:r>
      </m:oMath>
      <w:r>
        <w:rPr>
          <w:b/>
          <w:bCs/>
        </w:rPr>
        <w:t xml:space="preserve">16.19 (midpoint $15.94)</w:t>
      </w:r>
      <w:r>
        <w:t xml:space="preserve">, with same-property assumptions of:</w:t>
      </w:r>
    </w:p>
    <w:p>
      <w:pPr>
        <w:pStyle w:val="Compact"/>
        <w:numPr>
          <w:ilvl w:val="0"/>
          <w:numId w:val="1002"/>
        </w:numPr>
      </w:pPr>
      <w:r>
        <w:rPr>
          <w:b/>
          <w:bCs/>
        </w:rPr>
        <w:t xml:space="preserve">Revenue: +1.7% to +3.1% (2.4% midpoint)</w:t>
      </w:r>
    </w:p>
    <w:p>
      <w:pPr>
        <w:pStyle w:val="Compact"/>
        <w:numPr>
          <w:ilvl w:val="0"/>
          <w:numId w:val="1002"/>
        </w:numPr>
      </w:pPr>
      <w:r>
        <w:rPr>
          <w:b/>
          <w:bCs/>
        </w:rPr>
        <w:t xml:space="preserve">Operating expenses: +2.5% to +3.5% (3.0% midpoint)</w:t>
      </w:r>
    </w:p>
    <w:p>
      <w:pPr>
        <w:pStyle w:val="Compact"/>
        <w:numPr>
          <w:ilvl w:val="0"/>
          <w:numId w:val="1002"/>
        </w:numPr>
      </w:pPr>
      <w:r>
        <w:rPr>
          <w:b/>
          <w:bCs/>
        </w:rPr>
        <w:t xml:space="preserve">NOI: +0.8% to +3.4% (2.1% midpoint)</w:t>
      </w:r>
    </w:p>
    <w:p>
      <w:pPr>
        <w:pStyle w:val="FirstParagraph"/>
      </w:pPr>
      <w:r>
        <w:rPr>
          <w:b/>
          <w:bCs/>
        </w:rPr>
        <w:t xml:space="preserve">The single biggest question: does ESS raise the same-property revenue guide?</w:t>
      </w:r>
      <w:r>
        <w:t xml:space="preserve"> </w:t>
      </w:r>
      <w:r>
        <w:t xml:space="preserve">In Q1 management explicitly held the range despite tracking ahead, saying revenue would have been ~15 bps higher on Q1 trends alone and that they wanted "visibility into peak leasing season" before adjusting given macro uncertainty. Q2</w:t>
      </w:r>
      <w:r>
        <w:t xml:space="preserve"> </w:t>
      </w:r>
      <w:r>
        <w:rPr>
          <w:i/>
          <w:iCs/>
        </w:rPr>
        <w:t xml:space="preserve">is</w:t>
      </w:r>
      <w:r>
        <w:t xml:space="preserve"> </w:t>
      </w:r>
      <w:r>
        <w:t xml:space="preserve">that visibility. A revenue-guide raise is the most likely positive catalyst; a decision to hold again would read as cautious.</w:t>
      </w:r>
    </w:p>
    <w:p>
      <w:r>
        <w:pict>
          <v:rect style="width:0;height:1.5pt" o:hralign="center" o:hrstd="t" o:hr="t"/>
        </w:pict>
      </w:r>
    </w:p>
    <w:bookmarkEnd w:id="12"/>
    <w:bookmarkStart w:id="14" w:name="X44a945c7b65cf07eef3c0268b51b616da62c2ae"/>
    <w:p>
      <w:pPr>
        <w:pStyle w:val="Heading2"/>
      </w:pPr>
      <w:r>
        <w:t xml:space="preserve">3. The core operating story: blends into peak season</w:t>
      </w:r>
    </w:p>
    <w:p>
      <w:pPr>
        <w:pStyle w:val="FirstParagraph"/>
      </w:pPr>
      <w:r>
        <w:t xml:space="preserve">Q1 same-property revenue grew</w:t>
      </w:r>
      <w:r>
        <w:t xml:space="preserve"> </w:t>
      </w:r>
      <w:r>
        <w:rPr>
          <w:b/>
          <w:bCs/>
        </w:rPr>
        <w:t xml:space="preserve">+2.9% YoY</w:t>
      </w:r>
      <w:r>
        <w:t xml:space="preserve"> </w:t>
      </w:r>
      <w:r>
        <w:t xml:space="preserve">(50 bps ahead of plan) and NOI grew</w:t>
      </w:r>
      <w:r>
        <w:t xml:space="preserve"> </w:t>
      </w:r>
      <w:r>
        <w:rPr>
          <w:b/>
          <w:bCs/>
        </w:rPr>
        <w:t xml:space="preserve">+4.1%</w:t>
      </w:r>
      <w:r>
        <w:t xml:space="preserve">, with occupancy up 20 bps YoY to</w:t>
      </w:r>
      <w:r>
        <w:t xml:space="preserve"> </w:t>
      </w:r>
      <w:r>
        <w:rPr>
          <w:b/>
          <w:bCs/>
        </w:rPr>
        <w:t xml:space="preserve">96.5%</w:t>
      </w:r>
      <w:r>
        <w:t xml:space="preserve">.</w:t>
      </w:r>
    </w:p>
    <w:p>
      <w:pPr>
        <w:pStyle w:val="BodyText"/>
      </w:pPr>
      <w:r>
        <w:t xml:space="preserve">The key metric tomorrow is the</w:t>
      </w:r>
      <w:r>
        <w:t xml:space="preserve"> </w:t>
      </w:r>
      <w:r>
        <w:rPr>
          <w:b/>
          <w:bCs/>
        </w:rPr>
        <w:t xml:space="preserve">blended lease-rate trajectory</w:t>
      </w:r>
      <w:r>
        <w:t xml:space="preserve">. Note ESS</w:t>
      </w:r>
      <w:r>
        <w:t xml:space="preserve"> </w:t>
      </w:r>
      <w:r>
        <w:rPr>
          <w:b/>
          <w:bCs/>
        </w:rPr>
        <w:t xml:space="preserve">changed methodology in 2026</w:t>
      </w:r>
      <w:r>
        <w:t xml:space="preserve"> </w:t>
      </w:r>
      <w:r>
        <w:t xml:space="preserve">to "all leases" (aligning with peers), which adds seasonal variability — higher highs in Q2/Q3, lower lows in Q1/Q4:</w:t>
      </w:r>
    </w:p>
    <w:p>
      <w:pPr>
        <w:pStyle w:val="Compact"/>
        <w:numPr>
          <w:ilvl w:val="0"/>
          <w:numId w:val="1003"/>
        </w:numPr>
      </w:pPr>
      <w:r>
        <w:t xml:space="preserve">Q1 blended was</w:t>
      </w:r>
      <w:r>
        <w:t xml:space="preserve"> </w:t>
      </w:r>
      <w:r>
        <w:rPr>
          <w:b/>
          <w:bCs/>
        </w:rPr>
        <w:t xml:space="preserve">+1.4%</w:t>
      </w:r>
      <w:r>
        <w:t xml:space="preserve"> </w:t>
      </w:r>
      <w:r>
        <w:t xml:space="preserve">(an occupancy-focused quarter).</w:t>
      </w:r>
    </w:p>
    <w:p>
      <w:pPr>
        <w:pStyle w:val="Compact"/>
        <w:numPr>
          <w:ilvl w:val="0"/>
          <w:numId w:val="1003"/>
        </w:numPr>
      </w:pPr>
      <w:r>
        <w:t xml:space="preserve">April was already</w:t>
      </w:r>
      <w:r>
        <w:t xml:space="preserve"> </w:t>
      </w:r>
      <w:r>
        <w:rPr>
          <w:b/>
          <w:bCs/>
        </w:rPr>
        <w:t xml:space="preserve">north of +3%</w:t>
      </w:r>
      <w:r>
        <w:t xml:space="preserve"> </w:t>
      </w:r>
      <w:r>
        <w:t xml:space="preserve">(new ~-0.9%, renewal ~+5%).</w:t>
      </w:r>
    </w:p>
    <w:p>
      <w:pPr>
        <w:pStyle w:val="Compact"/>
        <w:numPr>
          <w:ilvl w:val="0"/>
          <w:numId w:val="1003"/>
        </w:numPr>
      </w:pPr>
      <w:r>
        <w:t xml:space="preserve">Management expects blends to</w:t>
      </w:r>
      <w:r>
        <w:t xml:space="preserve"> </w:t>
      </w:r>
      <w:r>
        <w:rPr>
          <w:b/>
          <w:bCs/>
        </w:rPr>
        <w:t xml:space="preserve">peak around June–July</w:t>
      </w:r>
      <w:r>
        <w:t xml:space="preserve">, so</w:t>
      </w:r>
      <w:r>
        <w:t xml:space="preserve"> </w:t>
      </w:r>
      <w:r>
        <w:rPr>
          <w:b/>
          <w:bCs/>
        </w:rPr>
        <w:t xml:space="preserve">Q2 should be the strongest blended quarter of the year.</w:t>
      </w:r>
    </w:p>
    <w:p>
      <w:pPr>
        <w:pStyle w:val="FirstParagraph"/>
      </w:pPr>
      <w:r>
        <w:t xml:space="preserve">Full-year blended guide is ~</w:t>
      </w:r>
      <w:r>
        <w:rPr>
          <w:b/>
          <w:bCs/>
        </w:rPr>
        <w:t xml:space="preserve">2.5%</w:t>
      </w:r>
      <w:r>
        <w:t xml:space="preserve">, with renewals sent out around</w:t>
      </w:r>
      <w:r>
        <w:t xml:space="preserve"> </w:t>
      </w:r>
      <w:r>
        <w:rPr>
          <w:b/>
          <w:bCs/>
        </w:rPr>
        <w:t xml:space="preserve">5%</w:t>
      </w:r>
      <w:r>
        <w:t xml:space="preserve"> </w:t>
      </w:r>
      <w:r>
        <w:t xml:space="preserve">and described as "sticky." Watch for: (a) how high the blend peaked, (b) whether new-lease spreads turned positive, and (c) whether the seasonal roll-down into Q3/Q4 looks manageable.</w:t>
      </w:r>
    </w:p>
    <w:bookmarkStart w:id="13" w:name="regional-scorecard-to-watch"/>
    <w:p>
      <w:pPr>
        <w:pStyle w:val="Heading3"/>
      </w:pPr>
      <w:r>
        <w:t xml:space="preserve">Regional scorecard to watch</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Region</w:t>
            </w:r>
          </w:p>
        </w:tc>
        <w:tc>
          <w:tcPr/>
          <w:p>
            <w:pPr>
              <w:pStyle w:val="Compact"/>
            </w:pPr>
            <w:r>
              <w:t xml:space="preserve">~% of NOI</w:t>
            </w:r>
          </w:p>
        </w:tc>
        <w:tc>
          <w:tcPr/>
          <w:p>
            <w:pPr>
              <w:pStyle w:val="Compact"/>
            </w:pPr>
            <w:r>
              <w:t xml:space="preserve">Q1 read</w:t>
            </w:r>
          </w:p>
        </w:tc>
        <w:tc>
          <w:tcPr/>
          <w:p>
            <w:pPr>
              <w:pStyle w:val="Compact"/>
            </w:pPr>
            <w:r>
              <w:t xml:space="preserve">What to watch in Q2</w:t>
            </w:r>
          </w:p>
        </w:tc>
      </w:tr>
      <w:tr>
        <w:tc>
          <w:tcPr/>
          <w:p>
            <w:pPr>
              <w:pStyle w:val="Compact"/>
            </w:pPr>
            <w:r>
              <w:rPr>
                <w:b/>
                <w:bCs/>
              </w:rPr>
              <w:t xml:space="preserve">Northern California</w:t>
            </w:r>
          </w:p>
        </w:tc>
        <w:tc>
          <w:tcPr/>
          <w:p>
            <w:pPr>
              <w:pStyle w:val="Compact"/>
            </w:pPr>
            <w:r>
              <w:t xml:space="preserve">~42%</w:t>
            </w:r>
          </w:p>
        </w:tc>
        <w:tc>
          <w:tcPr/>
          <w:p>
            <w:pPr>
              <w:pStyle w:val="Compact"/>
            </w:pPr>
            <w:r>
              <w:t xml:space="preserve">Best market; blended</w:t>
            </w:r>
            <w:r>
              <w:t xml:space="preserve"> </w:t>
            </w:r>
            <w:r>
              <w:rPr>
                <w:b/>
                <w:bCs/>
              </w:rPr>
              <w:t xml:space="preserve">+3.2%</w:t>
            </w:r>
            <w:r>
              <w:t xml:space="preserve">, rev</w:t>
            </w:r>
            <w:r>
              <w:t xml:space="preserve"> </w:t>
            </w:r>
            <w:r>
              <w:rPr>
                <w:b/>
                <w:bCs/>
              </w:rPr>
              <w:t xml:space="preserve">+3.9%</w:t>
            </w:r>
          </w:p>
        </w:tc>
        <w:tc>
          <w:tcPr/>
          <w:p>
            <w:pPr>
              <w:pStyle w:val="Compact"/>
            </w:pPr>
            <w:r>
              <w:t xml:space="preserve">The engine. SF, San Mateo, Santa Clara. AI startups + tech job postings steady; affordability runway (rent-to-income ~21.5% vs. ~26% 20-yr avg). Any crack from tech-layoff headlines?</w:t>
            </w:r>
          </w:p>
        </w:tc>
      </w:tr>
      <w:tr>
        <w:tc>
          <w:tcPr/>
          <w:p>
            <w:pPr>
              <w:pStyle w:val="Compact"/>
            </w:pPr>
            <w:r>
              <w:rPr>
                <w:b/>
                <w:bCs/>
              </w:rPr>
              <w:t xml:space="preserve">Southern California</w:t>
            </w:r>
          </w:p>
        </w:tc>
        <w:tc>
          <w:tcPr/>
          <w:p>
            <w:pPr>
              <w:pStyle w:val="Compact"/>
            </w:pPr>
            <w:r>
              <w:t xml:space="preserve">~41%</w:t>
            </w:r>
          </w:p>
        </w:tc>
        <w:tc>
          <w:tcPr/>
          <w:p>
            <w:pPr>
              <w:pStyle w:val="Compact"/>
            </w:pPr>
            <w:r>
              <w:t xml:space="preserve">On plan; blended</w:t>
            </w:r>
            <w:r>
              <w:t xml:space="preserve"> </w:t>
            </w:r>
            <w:r>
              <w:rPr>
                <w:b/>
                <w:bCs/>
              </w:rPr>
              <w:t xml:space="preserve">~+1%</w:t>
            </w:r>
          </w:p>
        </w:tc>
        <w:tc>
          <w:tcPr/>
          <w:p>
            <w:pPr>
              <w:pStyle w:val="Compact"/>
            </w:pPr>
            <w:r>
              <w:t xml:space="preserve">LA is the laggard — "glacial pace." Excluding LA, April new-lease growth would be 180 bps higher. Watch the</w:t>
            </w:r>
            <w:r>
              <w:t xml:space="preserve"> </w:t>
            </w:r>
            <w:r>
              <w:rPr>
                <w:b/>
                <w:bCs/>
              </w:rPr>
              <w:t xml:space="preserve">95% economic occupancy</w:t>
            </w:r>
            <w:r>
              <w:t xml:space="preserve"> </w:t>
            </w:r>
            <w:r>
              <w:t xml:space="preserve">threshold that unlocks pricing power (was &gt;94%).</w:t>
            </w:r>
          </w:p>
        </w:tc>
      </w:tr>
      <w:tr>
        <w:tc>
          <w:tcPr/>
          <w:p>
            <w:pPr>
              <w:pStyle w:val="Compact"/>
            </w:pPr>
            <w:r>
              <w:rPr>
                <w:b/>
                <w:bCs/>
              </w:rPr>
              <w:t xml:space="preserve">Seattle</w:t>
            </w:r>
          </w:p>
        </w:tc>
        <w:tc>
          <w:tcPr/>
          <w:p>
            <w:pPr>
              <w:pStyle w:val="Compact"/>
            </w:pPr>
            <w:r>
              <w:t xml:space="preserve">~17–18%</w:t>
            </w:r>
          </w:p>
        </w:tc>
        <w:tc>
          <w:tcPr/>
          <w:p>
            <w:pPr>
              <w:pStyle w:val="Compact"/>
            </w:pPr>
            <w:r>
              <w:t xml:space="preserve">Blended</w:t>
            </w:r>
            <w:r>
              <w:t xml:space="preserve"> </w:t>
            </w:r>
            <w:r>
              <w:rPr>
                <w:b/>
                <w:bCs/>
              </w:rPr>
              <w:t xml:space="preserve">-0.8%</w:t>
            </w:r>
            <w:r>
              <w:t xml:space="preserve"> </w:t>
            </w:r>
            <w:r>
              <w:t xml:space="preserve">(soft start)</w:t>
            </w:r>
          </w:p>
        </w:tc>
        <w:tc>
          <w:tcPr/>
          <w:p>
            <w:pPr>
              <w:pStyle w:val="Compact"/>
            </w:pPr>
            <w:r>
              <w:t xml:space="preserve">Most-improved narrative — turned positive in March/April as supply absorbed. More constructive tone; office expansions announced.</w:t>
            </w:r>
          </w:p>
        </w:tc>
      </w:tr>
    </w:tbl>
    <w:p>
      <w:r>
        <w:pict>
          <v:rect style="width:0;height:1.5pt" o:hralign="center" o:hrstd="t" o:hr="t"/>
        </w:pict>
      </w:r>
    </w:p>
    <w:bookmarkEnd w:id="13"/>
    <w:bookmarkEnd w:id="14"/>
    <w:bookmarkStart w:id="15" w:name="X9fc668e4f6c2379b04bbe4021b3256a3526f99e"/>
    <w:p>
      <w:pPr>
        <w:pStyle w:val="Heading2"/>
      </w:pPr>
      <w:r>
        <w:t xml:space="preserve">4. Expenses: a known H2 headwind</w:t>
      </w:r>
    </w:p>
    <w:p>
      <w:pPr>
        <w:pStyle w:val="FirstParagraph"/>
      </w:pPr>
      <w:r>
        <w:t xml:space="preserve">Q1 same-property operating expenses were</w:t>
      </w:r>
      <w:r>
        <w:t xml:space="preserve"> </w:t>
      </w:r>
      <w:r>
        <w:rPr>
          <w:b/>
          <w:bCs/>
        </w:rPr>
        <w:t xml:space="preserve">flat YoY</w:t>
      </w:r>
      <w:r>
        <w:t xml:space="preserve"> </w:t>
      </w:r>
      <w:r>
        <w:t xml:space="preserve">— well below plan — but management was explicit that ~$0.04 of the beat was</w:t>
      </w:r>
      <w:r>
        <w:t xml:space="preserve"> </w:t>
      </w:r>
      <w:r>
        <w:rPr>
          <w:b/>
          <w:bCs/>
        </w:rPr>
        <w:t xml:space="preserve">timing</w:t>
      </w:r>
      <w:r>
        <w:t xml:space="preserve"> </w:t>
      </w:r>
      <w:r>
        <w:t xml:space="preserve">(controllable projects delayed from Q1 into Q2/Q3) and would reverse. Full-year controllable expense growth is still guided to ~2%. Expect</w:t>
      </w:r>
      <w:r>
        <w:t xml:space="preserve"> </w:t>
      </w:r>
      <w:r>
        <w:rPr>
          <w:b/>
          <w:bCs/>
        </w:rPr>
        <w:t xml:space="preserve">higher opex growth in Q2/Q3</w:t>
      </w:r>
      <w:r>
        <w:t xml:space="preserve">; don't be surprised by it. Property insurance remains a tailwind after a favorable December renewal.</w:t>
      </w:r>
    </w:p>
    <w:p>
      <w:r>
        <w:pict>
          <v:rect style="width:0;height:1.5pt" o:hralign="center" o:hrstd="t" o:hr="t"/>
        </w:pict>
      </w:r>
    </w:p>
    <w:bookmarkEnd w:id="15"/>
    <w:bookmarkStart w:id="16" w:name="X660745ab1f9547de1e9a51ce6bc0aa93f5bb6ce"/>
    <w:p>
      <w:pPr>
        <w:pStyle w:val="Heading2"/>
      </w:pPr>
      <w:r>
        <w:t xml:space="preserve">5. The structured-finance / preferred-equity wildcard</w:t>
      </w:r>
    </w:p>
    <w:p>
      <w:pPr>
        <w:pStyle w:val="FirstParagraph"/>
      </w:pPr>
      <w:r>
        <w:t xml:space="preserve">This has been the main source of ESS's FFO volatility, and management says</w:t>
      </w:r>
      <w:r>
        <w:t xml:space="preserve"> </w:t>
      </w:r>
      <w:r>
        <w:rPr>
          <w:b/>
          <w:bCs/>
        </w:rPr>
        <w:t xml:space="preserve">2026 is "the last year" of that noise.</w:t>
      </w:r>
      <w:r>
        <w:t xml:space="preserve"> </w:t>
      </w:r>
      <w:r>
        <w:t xml:space="preserve">Key moving parts:</w:t>
      </w:r>
    </w:p>
    <w:p>
      <w:pPr>
        <w:pStyle w:val="Compact"/>
        <w:numPr>
          <w:ilvl w:val="0"/>
          <w:numId w:val="1004"/>
        </w:numPr>
      </w:pPr>
      <w:r>
        <w:rPr>
          <w:b/>
          <w:bCs/>
        </w:rPr>
        <w:t xml:space="preserve">~</w:t>
      </w:r>
      <m:oMath>
        <m:r>
          <m:t>90</m:t>
        </m:r>
        <m:r>
          <m:t>M</m:t>
        </m:r>
        <m:r>
          <m:t>o</m:t>
        </m:r>
        <m:r>
          <m:t>f</m:t>
        </m:r>
        <m:r>
          <m:t>e</m:t>
        </m:r>
        <m:r>
          <m:t>a</m:t>
        </m:r>
        <m:r>
          <m:t>r</m:t>
        </m:r>
        <m:r>
          <m:t>l</m:t>
        </m:r>
        <m:r>
          <m:t>y</m:t>
        </m:r>
        <m:r>
          <m:t>s</m:t>
        </m:r>
        <m:r>
          <m:t>t</m:t>
        </m:r>
        <m:r>
          <m:t>r</m:t>
        </m:r>
        <m:r>
          <m:t>u</m:t>
        </m:r>
        <m:r>
          <m:t>c</m:t>
        </m:r>
        <m:r>
          <m:t>t</m:t>
        </m:r>
        <m:r>
          <m:t>u</m:t>
        </m:r>
        <m:r>
          <m:t>r</m:t>
        </m:r>
        <m:r>
          <m:t>e</m:t>
        </m:r>
        <m:r>
          <m:t>d</m:t>
        </m:r>
        <m:r>
          <m:rPr>
            <m:sty m:val="p"/>
          </m:rPr>
          <m:t>−</m:t>
        </m:r>
        <m:r>
          <m:t>f</m:t>
        </m:r>
        <m:r>
          <m:t>i</m:t>
        </m:r>
        <m:r>
          <m:t>n</m:t>
        </m:r>
        <m:r>
          <m:t>a</m:t>
        </m:r>
        <m:r>
          <m:t>n</m:t>
        </m:r>
        <m:r>
          <m:t>c</m:t>
        </m:r>
        <m:r>
          <m:t>e</m:t>
        </m:r>
        <m:r>
          <m:t>r</m:t>
        </m:r>
        <m:r>
          <m:t>e</m:t>
        </m:r>
        <m:r>
          <m:t>d</m:t>
        </m:r>
        <m:r>
          <m:t>e</m:t>
        </m:r>
        <m:r>
          <m:t>m</m:t>
        </m:r>
        <m:r>
          <m:t>p</m:t>
        </m:r>
        <m:r>
          <m:t>t</m:t>
        </m:r>
        <m:r>
          <m:t>i</m:t>
        </m:r>
        <m:r>
          <m:t>o</m:t>
        </m:r>
        <m:r>
          <m:t>n</m:t>
        </m:r>
        <m:r>
          <m:t>s</m:t>
        </m:r>
        <m:r>
          <m:rPr>
            <m:sty m:val="p"/>
          </m:rPr>
          <m:t>*</m:t>
        </m:r>
        <m:r>
          <m:rPr>
            <m:sty m:val="p"/>
          </m:rPr>
          <m:t>*</m:t>
        </m:r>
        <m:r>
          <m:t>w</m:t>
        </m:r>
        <m:r>
          <m:t>e</m:t>
        </m:r>
        <m:r>
          <m:t>r</m:t>
        </m:r>
        <m:r>
          <m:t>e</m:t>
        </m:r>
        <m:r>
          <m:t>e</m:t>
        </m:r>
        <m:r>
          <m:t>x</m:t>
        </m:r>
        <m:r>
          <m:t>p</m:t>
        </m:r>
        <m:r>
          <m:t>e</m:t>
        </m:r>
        <m:r>
          <m:t>c</m:t>
        </m:r>
        <m:r>
          <m:t>t</m:t>
        </m:r>
        <m:r>
          <m:t>e</m:t>
        </m:r>
        <m:r>
          <m:t>d</m:t>
        </m:r>
        <m:r>
          <m:t>t</m:t>
        </m:r>
        <m:r>
          <m:t>o</m:t>
        </m:r>
        <m:r>
          <m:t>c</m:t>
        </m:r>
        <m:r>
          <m:t>l</m:t>
        </m:r>
        <m:r>
          <m:t>o</m:t>
        </m:r>
        <m:r>
          <m:t>s</m:t>
        </m:r>
        <m:r>
          <m:t>e</m:t>
        </m:r>
        <m:r>
          <m:t>i</m:t>
        </m:r>
        <m:r>
          <m:t>n</m:t>
        </m:r>
        <m:r>
          <m:rPr>
            <m:sty m:val="p"/>
          </m:rPr>
          <m:t>*</m:t>
        </m:r>
        <m:r>
          <m:rPr>
            <m:sty m:val="p"/>
          </m:rPr>
          <m:t>*</m:t>
        </m:r>
        <m:r>
          <m:t>Q</m:t>
        </m:r>
        <m:r>
          <m:t>2</m:t>
        </m:r>
        <m:r>
          <m:rPr>
            <m:sty m:val="p"/>
          </m:rPr>
          <m:t>*</m:t>
        </m:r>
        <m:r>
          <m:rPr>
            <m:sty m:val="p"/>
          </m:rPr>
          <m:t>*</m:t>
        </m:r>
        <m:r>
          <m:rPr>
            <m:sty m:val="p"/>
          </m:rPr>
          <m:t>—</m:t>
        </m:r>
        <m:r>
          <m:t>a</m:t>
        </m:r>
        <m:r>
          <m:rPr>
            <m:sty m:val="p"/>
          </m:rPr>
          <m:t>*</m:t>
        </m:r>
        <m:r>
          <m:rPr>
            <m:sty m:val="p"/>
          </m:rPr>
          <m:t>*</m:t>
        </m:r>
      </m:oMath>
      <w:r>
        <w:rPr>
          <w:b/>
          <w:bCs/>
        </w:rPr>
        <w:t xml:space="preserve">0.07 H2 FFO headwind</w:t>
      </w:r>
      <w:r>
        <w:t xml:space="preserve">, largely offset by buyback accretion. These pull forward 2027/2028 maturities, so "the headwind is behind us."</w:t>
      </w:r>
    </w:p>
    <w:p>
      <w:pPr>
        <w:pStyle w:val="Compact"/>
        <w:numPr>
          <w:ilvl w:val="0"/>
          <w:numId w:val="1004"/>
        </w:numPr>
      </w:pPr>
      <w:r>
        <w:t xml:space="preserve">Two investments are</w:t>
      </w:r>
      <w:r>
        <w:t xml:space="preserve"> </w:t>
      </w:r>
      <w:r>
        <w:rPr>
          <w:b/>
          <w:bCs/>
        </w:rPr>
        <w:t xml:space="preserve">not accruing</w:t>
      </w:r>
      <w:r>
        <w:t xml:space="preserve"> </w:t>
      </w:r>
      <w:r>
        <w:t xml:space="preserve">(one likely an early-2027 resolution event; another whose maturity was a couple months out as of April). Any update on recoveries here is upside/downside to FFO.</w:t>
      </w:r>
    </w:p>
    <w:p>
      <w:pPr>
        <w:pStyle w:val="Compact"/>
        <w:numPr>
          <w:ilvl w:val="0"/>
          <w:numId w:val="1004"/>
        </w:numPr>
      </w:pPr>
      <w:r>
        <w:t xml:space="preserve">Watch for</w:t>
      </w:r>
      <w:r>
        <w:t xml:space="preserve"> </w:t>
      </w:r>
      <w:r>
        <w:rPr>
          <w:b/>
          <w:bCs/>
        </w:rPr>
        <w:t xml:space="preserve">new structured-finance/preferred deployments</w:t>
      </w:r>
      <w:r>
        <w:t xml:space="preserve"> </w:t>
      </w:r>
      <w:r>
        <w:t xml:space="preserve">— management is tracking deals but staying disciplined as yields compress.</w:t>
      </w:r>
    </w:p>
    <w:p>
      <w:pPr>
        <w:pStyle w:val="FirstParagraph"/>
      </w:pPr>
      <w:r>
        <w:t xml:space="preserve">Model tip from management: assume a</w:t>
      </w:r>
      <w:r>
        <w:t xml:space="preserve"> </w:t>
      </w:r>
      <w:r>
        <w:rPr>
          <w:b/>
          <w:bCs/>
        </w:rPr>
        <w:t xml:space="preserve">mid-Q2 redemption</w:t>
      </w:r>
      <w:r>
        <w:t xml:space="preserve"> </w:t>
      </w:r>
      <w:r>
        <w:t xml:space="preserve">to reconcile the guidance bridge.</w:t>
      </w:r>
    </w:p>
    <w:p>
      <w:r>
        <w:pict>
          <v:rect style="width:0;height:1.5pt" o:hralign="center" o:hrstd="t" o:hr="t"/>
        </w:pict>
      </w:r>
    </w:p>
    <w:bookmarkEnd w:id="16"/>
    <w:bookmarkStart w:id="17" w:name="X8832c13b634b9addbb027b9cac738e16cb59360"/>
    <w:p>
      <w:pPr>
        <w:pStyle w:val="Heading2"/>
      </w:pPr>
      <w:r>
        <w:t xml:space="preserve">6. Balance sheet &amp; capital allocation</w:t>
      </w:r>
    </w:p>
    <w:p>
      <w:pPr>
        <w:pStyle w:val="FirstParagraph"/>
      </w:pPr>
      <w:r>
        <w:t xml:space="preserve">The balance sheet is a non-issue and a strength:</w:t>
      </w:r>
      <w:r>
        <w:t xml:space="preserve"> </w:t>
      </w:r>
      <w:r>
        <w:rPr>
          <w:b/>
          <w:bCs/>
        </w:rPr>
        <w:t xml:space="preserve">net debt/EBITDA ~5.5x</w:t>
      </w:r>
      <w:r>
        <w:t xml:space="preserve">,</w:t>
      </w:r>
      <w:r>
        <w:t xml:space="preserve"> </w:t>
      </w:r>
      <w:r>
        <w:rPr>
          <w:b/>
          <w:bCs/>
        </w:rPr>
        <w:t xml:space="preserve">&gt;</w:t>
      </w:r>
      <m:oMath>
        <m:r>
          <m:t>1.7</m:t>
        </m:r>
        <m:r>
          <m:t>B</m:t>
        </m:r>
        <m:r>
          <m:t>l</m:t>
        </m:r>
        <m:r>
          <m:t>i</m:t>
        </m:r>
        <m:r>
          <m:t>q</m:t>
        </m:r>
        <m:r>
          <m:t>u</m:t>
        </m:r>
        <m:r>
          <m:t>i</m:t>
        </m:r>
        <m:r>
          <m:t>d</m:t>
        </m:r>
        <m:r>
          <m:t>i</m:t>
        </m:r>
        <m:r>
          <m:t>t</m:t>
        </m:r>
        <m:r>
          <m:t>y</m:t>
        </m:r>
        <m:r>
          <m:rPr>
            <m:sty m:val="p"/>
          </m:rPr>
          <m:t>*</m:t>
        </m:r>
        <m:r>
          <m:rPr>
            <m:sty m:val="p"/>
          </m:rPr>
          <m:t>*</m:t>
        </m:r>
        <m:r>
          <m:rPr>
            <m:sty m:val="p"/>
          </m:rPr>
          <m:t>,</m:t>
        </m:r>
        <m:r>
          <m:t>i</m:t>
        </m:r>
        <m:r>
          <m:t>n</m:t>
        </m:r>
        <m:r>
          <m:t>v</m:t>
        </m:r>
        <m:r>
          <m:t>e</m:t>
        </m:r>
        <m:r>
          <m:t>s</m:t>
        </m:r>
        <m:r>
          <m:t>t</m:t>
        </m:r>
        <m:r>
          <m:t>m</m:t>
        </m:r>
        <m:r>
          <m:t>e</m:t>
        </m:r>
        <m:r>
          <m:t>n</m:t>
        </m:r>
        <m:r>
          <m:t>t</m:t>
        </m:r>
        <m:r>
          <m:rPr>
            <m:sty m:val="p"/>
          </m:rPr>
          <m:t>−</m:t>
        </m:r>
        <m:r>
          <m:t>g</m:t>
        </m:r>
        <m:r>
          <m:t>r</m:t>
        </m:r>
        <m:r>
          <m:t>a</m:t>
        </m:r>
        <m:r>
          <m:t>d</m:t>
        </m:r>
        <m:r>
          <m:t>e</m:t>
        </m:r>
        <m:r>
          <m:t>r</m:t>
        </m:r>
        <m:r>
          <m:t>a</m:t>
        </m:r>
        <m:r>
          <m:t>t</m:t>
        </m:r>
        <m:r>
          <m:t>i</m:t>
        </m:r>
        <m:r>
          <m:t>n</m:t>
        </m:r>
        <m:r>
          <m:t>g</m:t>
        </m:r>
        <m:r>
          <m:t>s</m:t>
        </m:r>
        <m:r>
          <m:rPr>
            <m:sty m:val="p"/>
          </m:rPr>
          <m:t>(</m:t>
        </m:r>
        <m:r>
          <m:rPr>
            <m:sty m:val="p"/>
          </m:rPr>
          <m:t>*</m:t>
        </m:r>
        <m:r>
          <m:rPr>
            <m:sty m:val="p"/>
          </m:rPr>
          <m:t>*</m:t>
        </m:r>
        <m:r>
          <m:t>B</m:t>
        </m:r>
        <m:r>
          <m:t>a</m:t>
        </m:r>
        <m:r>
          <m:t>a</m:t>
        </m:r>
        <m:r>
          <m:t>1</m:t>
        </m:r>
        <m:r>
          <m:rPr>
            <m:sty m:val="p"/>
          </m:rPr>
          <m:t>/</m:t>
        </m:r>
        <m:r>
          <m:t>B</m:t>
        </m:r>
        <m:r>
          <m:t>B</m:t>
        </m:r>
        <m:r>
          <m:t>B</m:t>
        </m:r>
        <m:r>
          <m:rPr>
            <m:sty m:val="p"/>
          </m:rPr>
          <m:t>+</m:t>
        </m:r>
        <m:r>
          <m:rPr>
            <m:sty m:val="p"/>
          </m:rPr>
          <m:t>,</m:t>
        </m:r>
        <m:r>
          <m:t>s</m:t>
        </m:r>
        <m:r>
          <m:t>t</m:t>
        </m:r>
        <m:r>
          <m:t>a</m:t>
        </m:r>
        <m:r>
          <m:t>b</m:t>
        </m:r>
        <m:r>
          <m:t>l</m:t>
        </m:r>
        <m:r>
          <m:t>e</m:t>
        </m:r>
        <m:r>
          <m:rPr>
            <m:sty m:val="p"/>
          </m:rPr>
          <m:t>*</m:t>
        </m:r>
        <m:r>
          <m:rPr>
            <m:sty m:val="p"/>
          </m:rPr>
          <m:t>*</m:t>
        </m:r>
        <m:r>
          <m:rPr>
            <m:sty m:val="p"/>
          </m:rPr>
          <m:t>)</m:t>
        </m:r>
        <m:r>
          <m:rPr>
            <m:sty m:val="p"/>
          </m:rPr>
          <m:t>,</m:t>
        </m:r>
        <m:r>
          <m:t>a</m:t>
        </m:r>
        <m:r>
          <m:t>n</m:t>
        </m:r>
        <m:r>
          <m:t>d</m:t>
        </m:r>
        <m:r>
          <m:t>l</m:t>
        </m:r>
        <m:r>
          <m:t>i</m:t>
        </m:r>
        <m:r>
          <m:t>m</m:t>
        </m:r>
        <m:r>
          <m:t>i</m:t>
        </m:r>
        <m:r>
          <m:t>t</m:t>
        </m:r>
        <m:r>
          <m:t>e</m:t>
        </m:r>
        <m:r>
          <m:t>d</m:t>
        </m:r>
        <m:r>
          <m:t>r</m:t>
        </m:r>
        <m:r>
          <m:t>e</m:t>
        </m:r>
        <m:r>
          <m:t>m</m:t>
        </m:r>
        <m:r>
          <m:t>a</m:t>
        </m:r>
        <m:r>
          <m:t>i</m:t>
        </m:r>
        <m:r>
          <m:t>n</m:t>
        </m:r>
        <m:r>
          <m:t>i</m:t>
        </m:r>
        <m:r>
          <m:t>n</m:t>
        </m:r>
        <m:r>
          <m:t>g</m:t>
        </m:r>
        <m:r>
          <m:t>2026</m:t>
        </m:r>
        <m:r>
          <m:t>m</m:t>
        </m:r>
        <m:r>
          <m:t>a</m:t>
        </m:r>
        <m:r>
          <m:t>t</m:t>
        </m:r>
        <m:r>
          <m:t>u</m:t>
        </m:r>
        <m:r>
          <m:t>r</m:t>
        </m:r>
        <m:r>
          <m:t>i</m:t>
        </m:r>
        <m:r>
          <m:t>t</m:t>
        </m:r>
        <m:r>
          <m:t>i</m:t>
        </m:r>
        <m:r>
          <m:t>e</m:t>
        </m:r>
        <m:r>
          <m:t>s</m:t>
        </m:r>
        <m:r>
          <m:t>a</m:t>
        </m:r>
        <m:r>
          <m:t>f</m:t>
        </m:r>
        <m:r>
          <m:t>t</m:t>
        </m:r>
        <m:r>
          <m:t>e</m:t>
        </m:r>
        <m:r>
          <m:t>r</m:t>
        </m:r>
        <m:r>
          <m:t>r</m:t>
        </m:r>
        <m:r>
          <m:t>e</m:t>
        </m:r>
        <m:r>
          <m:t>p</m:t>
        </m:r>
        <m:r>
          <m:t>a</m:t>
        </m:r>
        <m:r>
          <m:t>y</m:t>
        </m:r>
        <m:r>
          <m:t>i</m:t>
        </m:r>
        <m:r>
          <m:t>n</m:t>
        </m:r>
        <m:r>
          <m:t>g</m:t>
        </m:r>
        <m:r>
          <m:rPr>
            <m:sty m:val="p"/>
          </m:rPr>
          <m:t>*</m:t>
        </m:r>
        <m:r>
          <m:rPr>
            <m:sty m:val="p"/>
          </m:rPr>
          <m:t>*</m:t>
        </m:r>
      </m:oMath>
      <w:r>
        <w:rPr>
          <w:b/>
          <w:bCs/>
        </w:rPr>
        <w:t xml:space="preserve">450M of unsecured bonds</w:t>
      </w:r>
      <w:r>
        <w:t xml:space="preserve"> </w:t>
      </w:r>
      <w:r>
        <w:t xml:space="preserve">in April. The dividend was raised</w:t>
      </w:r>
      <w:r>
        <w:t xml:space="preserve"> </w:t>
      </w:r>
      <w:r>
        <w:rPr>
          <w:b/>
          <w:bCs/>
        </w:rPr>
        <w:t xml:space="preserve">0.8% to $10.36/share annually — the 32nd consecutive annual increase.</w:t>
      </w:r>
    </w:p>
    <w:p>
      <w:pPr>
        <w:pStyle w:val="BodyText"/>
      </w:pPr>
      <w:r>
        <w:t xml:space="preserve">With the stock re-rated, listen for the shift in the capital-allocation priority stack:</w:t>
      </w:r>
    </w:p>
    <w:p>
      <w:pPr>
        <w:pStyle w:val="Compact"/>
        <w:numPr>
          <w:ilvl w:val="0"/>
          <w:numId w:val="1005"/>
        </w:numPr>
      </w:pPr>
      <w:r>
        <w:rPr>
          <w:b/>
          <w:bCs/>
        </w:rPr>
        <w:t xml:space="preserve">Buybacks</w:t>
      </w:r>
      <w:r>
        <w:t xml:space="preserve"> </w:t>
      </w:r>
      <w:r>
        <w:t xml:space="preserve">— likely dialed back given the higher share price.</w:t>
      </w:r>
    </w:p>
    <w:p>
      <w:pPr>
        <w:pStyle w:val="Compact"/>
        <w:numPr>
          <w:ilvl w:val="0"/>
          <w:numId w:val="1005"/>
        </w:numPr>
      </w:pPr>
      <w:r>
        <w:rPr>
          <w:b/>
          <w:bCs/>
        </w:rPr>
        <w:t xml:space="preserve">Dispositions</w:t>
      </w:r>
      <w:r>
        <w:t xml:space="preserve"> </w:t>
      </w:r>
      <w:r>
        <w:t xml:space="preserve">— several assets were on the market in Q1; proceeds to be redeployed to highest risk-adjusted return.</w:t>
      </w:r>
    </w:p>
    <w:p>
      <w:pPr>
        <w:pStyle w:val="Compact"/>
        <w:numPr>
          <w:ilvl w:val="0"/>
          <w:numId w:val="1005"/>
        </w:numPr>
      </w:pPr>
      <w:r>
        <w:rPr>
          <w:b/>
          <w:bCs/>
        </w:rPr>
        <w:t xml:space="preserve">Development / redevelopment</w:t>
      </w:r>
      <w:r>
        <w:t xml:space="preserve"> </w:t>
      </w:r>
      <w:r>
        <w:t xml:space="preserve">— the 7 South Linden project and, notably,</w:t>
      </w:r>
      <w:r>
        <w:t xml:space="preserve"> </w:t>
      </w:r>
      <w:r>
        <w:rPr>
          <w:b/>
          <w:bCs/>
        </w:rPr>
        <w:t xml:space="preserve">ADUs at ~10% return on cost</w:t>
      </w:r>
      <w:r>
        <w:t xml:space="preserve"> </w:t>
      </w:r>
      <w:r>
        <w:t xml:space="preserve">were flagged as attractive uses of capital.</w:t>
      </w:r>
    </w:p>
    <w:p>
      <w:pPr>
        <w:pStyle w:val="Compact"/>
        <w:numPr>
          <w:ilvl w:val="0"/>
          <w:numId w:val="1005"/>
        </w:numPr>
      </w:pPr>
      <w:r>
        <w:rPr>
          <w:b/>
          <w:bCs/>
        </w:rPr>
        <w:t xml:space="preserve">Acquisitions</w:t>
      </w:r>
      <w:r>
        <w:t xml:space="preserve"> </w:t>
      </w:r>
      <w:r>
        <w:t xml:space="preserve">— cap rates in ESS markets are mid-4%; Bay Area saw ~50 bps of cap-rate compression since 2024. Watch commentary on West Coast transaction appetite (e.g., the Camden portfolio process as a market read-through).</w:t>
      </w:r>
    </w:p>
    <w:p>
      <w:r>
        <w:pict>
          <v:rect style="width:0;height:1.5pt" o:hralign="center" o:hrstd="t" o:hr="t"/>
        </w:pict>
      </w:r>
    </w:p>
    <w:bookmarkEnd w:id="17"/>
    <w:bookmarkStart w:id="18" w:name="X5584bd3ef044fbe5c203e6d89e67645a24f7168"/>
    <w:p>
      <w:pPr>
        <w:pStyle w:val="Heading2"/>
      </w:pPr>
      <w:r>
        <w:t xml:space="preserve">7. Macro &amp; risk overlay</w:t>
      </w:r>
    </w:p>
    <w:p>
      <w:pPr>
        <w:pStyle w:val="Compact"/>
        <w:numPr>
          <w:ilvl w:val="0"/>
          <w:numId w:val="1006"/>
        </w:numPr>
      </w:pPr>
      <w:r>
        <w:rPr>
          <w:b/>
          <w:bCs/>
        </w:rPr>
        <w:t xml:space="preserve">Labor market is softening nationally</w:t>
      </w:r>
      <w:r>
        <w:t xml:space="preserve"> </w:t>
      </w:r>
      <w:r>
        <w:t xml:space="preserve">— payroll momentum has decelerated, which management flagged as a demand watch-item, though NorCal (highest tech concentration) remains its best market and low/steady unemployment claims suggest displaced workers are re-hired quickly.</w:t>
      </w:r>
    </w:p>
    <w:p>
      <w:pPr>
        <w:pStyle w:val="Compact"/>
        <w:numPr>
          <w:ilvl w:val="0"/>
          <w:numId w:val="1006"/>
        </w:numPr>
      </w:pPr>
      <w:r>
        <w:rPr>
          <w:b/>
          <w:bCs/>
        </w:rPr>
        <w:t xml:space="preserve">Geopolitics</w:t>
      </w:r>
      <w:r>
        <w:t xml:space="preserve"> </w:t>
      </w:r>
      <w:r>
        <w:t xml:space="preserve">— management repeatedly cited elevated uncertainty ("we weren't in a war with a new country" when guidance was set; the news flow references a US–Iran conflict). This is the stated reason they held guidance conservatively.</w:t>
      </w:r>
    </w:p>
    <w:p>
      <w:pPr>
        <w:pStyle w:val="Compact"/>
        <w:numPr>
          <w:ilvl w:val="0"/>
          <w:numId w:val="1006"/>
        </w:numPr>
      </w:pPr>
      <w:r>
        <w:rPr>
          <w:b/>
          <w:bCs/>
        </w:rPr>
        <w:t xml:space="preserve">California political/tax risk</w:t>
      </w:r>
      <w:r>
        <w:t xml:space="preserve"> </w:t>
      </w:r>
      <w:r>
        <w:t xml:space="preserve">— a proposed</w:t>
      </w:r>
      <w:r>
        <w:t xml:space="preserve"> </w:t>
      </w:r>
      <w:r>
        <w:rPr>
          <w:b/>
          <w:bCs/>
        </w:rPr>
        <w:t xml:space="preserve">wealth tax</w:t>
      </w:r>
      <w:r>
        <w:t xml:space="preserve"> </w:t>
      </w:r>
      <w:r>
        <w:t xml:space="preserve">is an overhang, though there's organized opposition; no business impact seen yet.</w:t>
      </w:r>
    </w:p>
    <w:p>
      <w:pPr>
        <w:pStyle w:val="Compact"/>
        <w:numPr>
          <w:ilvl w:val="0"/>
          <w:numId w:val="1006"/>
        </w:numPr>
      </w:pPr>
      <w:r>
        <w:rPr>
          <w:b/>
          <w:bCs/>
        </w:rPr>
        <w:t xml:space="preserve">Supply — the structural bull case</w:t>
      </w:r>
      <w:r>
        <w:t xml:space="preserve"> </w:t>
      </w:r>
      <w:r>
        <w:t xml:space="preserve">— new deliveries are guided to just</w:t>
      </w:r>
      <w:r>
        <w:t xml:space="preserve"> </w:t>
      </w:r>
      <w:r>
        <w:rPr>
          <w:b/>
          <w:bCs/>
        </w:rPr>
        <w:t xml:space="preserve">~0.4% of stock in 2026</w:t>
      </w:r>
      <w:r>
        <w:t xml:space="preserve"> </w:t>
      </w:r>
      <w:r>
        <w:t xml:space="preserve">across ESS markets (NorCal ~0.3%, Seattle falling to ~0.7% from 1.0%), with California permitting at historic lows. This scarcity underpins the durability thesis regardless of the demand cycle.</w:t>
      </w:r>
    </w:p>
    <w:p>
      <w:r>
        <w:pict>
          <v:rect style="width:0;height:1.5pt" o:hralign="center" o:hrstd="t" o:hr="t"/>
        </w:pict>
      </w:r>
    </w:p>
    <w:bookmarkEnd w:id="18"/>
    <w:bookmarkStart w:id="19" w:name="bottom-line--what-will-move-the-stock"/>
    <w:p>
      <w:pPr>
        <w:pStyle w:val="Heading2"/>
      </w:pPr>
      <w:r>
        <w:t xml:space="preserve">Bottom line — what will move the stock</w:t>
      </w:r>
    </w:p>
    <w:p>
      <w:pPr>
        <w:pStyle w:val="Compact"/>
        <w:numPr>
          <w:ilvl w:val="0"/>
          <w:numId w:val="1007"/>
        </w:numPr>
      </w:pPr>
      <w:r>
        <w:rPr>
          <w:b/>
          <w:bCs/>
        </w:rPr>
        <w:t xml:space="preserve">Same-property revenue guide: raise or hold?</w:t>
      </w:r>
      <w:r>
        <w:t xml:space="preserve"> </w:t>
      </w:r>
      <w:r>
        <w:t xml:space="preserve">A raise is the cleanest bull signal after Q1's deliberate conservatism.</w:t>
      </w:r>
    </w:p>
    <w:p>
      <w:pPr>
        <w:pStyle w:val="Compact"/>
        <w:numPr>
          <w:ilvl w:val="0"/>
          <w:numId w:val="1007"/>
        </w:numPr>
      </w:pPr>
      <w:r>
        <w:rPr>
          <w:b/>
          <w:bCs/>
        </w:rPr>
        <w:t xml:space="preserve">Peak-season blends</w:t>
      </w:r>
      <w:r>
        <w:t xml:space="preserve"> </w:t>
      </w:r>
      <w:r>
        <w:t xml:space="preserve">— how high did June/July blends peak, and did new-lease spreads inflect positive?</w:t>
      </w:r>
    </w:p>
    <w:p>
      <w:pPr>
        <w:pStyle w:val="Compact"/>
        <w:numPr>
          <w:ilvl w:val="0"/>
          <w:numId w:val="1007"/>
        </w:numPr>
      </w:pPr>
      <w:r>
        <w:rPr>
          <w:b/>
          <w:bCs/>
        </w:rPr>
        <w:t xml:space="preserve">NorCal durability vs. tech-layoff headlines</w:t>
      </w:r>
      <w:r>
        <w:t xml:space="preserve">, and any real Seattle/LA inflection.</w:t>
      </w:r>
    </w:p>
    <w:p>
      <w:pPr>
        <w:pStyle w:val="Compact"/>
        <w:numPr>
          <w:ilvl w:val="0"/>
          <w:numId w:val="1007"/>
        </w:numPr>
      </w:pPr>
      <w:r>
        <w:rPr>
          <w:b/>
          <w:bCs/>
        </w:rPr>
        <w:t xml:space="preserve">Capital allocation reset</w:t>
      </w:r>
      <w:r>
        <w:t xml:space="preserve"> </w:t>
      </w:r>
      <w:r>
        <w:t xml:space="preserve">now that the stock is no longer "cheap" (buyback vs. dispositions vs. development/ADUs).</w:t>
      </w:r>
    </w:p>
    <w:p>
      <w:pPr>
        <w:pStyle w:val="Compact"/>
        <w:numPr>
          <w:ilvl w:val="0"/>
          <w:numId w:val="1007"/>
        </w:numPr>
      </w:pPr>
      <w:r>
        <w:rPr>
          <w:b/>
          <w:bCs/>
        </w:rPr>
        <w:t xml:space="preserve">Clean-up of the preferred-equity book</w:t>
      </w:r>
      <w:r>
        <w:t xml:space="preserve"> </w:t>
      </w:r>
      <w:r>
        <w:t xml:space="preserve">— confirmation that 2026 is the last year of FFO noise.</w:t>
      </w:r>
    </w:p>
    <w:p>
      <w:pPr>
        <w:pStyle w:val="FirstParagraph"/>
      </w:pPr>
      <w:r>
        <w:t xml:space="preserve">Given the stock's ~15% YTD run and premium valuation, ESS likely needs a guidance raise</w:t>
      </w:r>
      <w:r>
        <w:t xml:space="preserve"> </w:t>
      </w:r>
      <w:r>
        <w:rPr>
          <w:i/>
          <w:iCs/>
        </w:rPr>
        <w:t xml:space="preserve">and</w:t>
      </w:r>
      <w:r>
        <w:t xml:space="preserve"> </w:t>
      </w:r>
      <w:r>
        <w:t xml:space="preserve">constructive peak-season leasing data to extend the move — an in-line reaffirmation could prompt profit-taking even on solid fundamentals.</w:t>
      </w:r>
    </w:p>
    <w:p>
      <w:r>
        <w:pict>
          <v:rect style="width:0;height:1.5pt" o:hralign="center" o:hrstd="t" o:hr="t"/>
        </w:pict>
      </w:r>
    </w:p>
    <w:p>
      <w:pPr>
        <w:pStyle w:val="FirstParagraph"/>
      </w:pPr>
      <w:r>
        <w:rPr>
          <w:i/>
          <w:iCs/>
        </w:rPr>
        <w:t xml:space="preserve">Preview based on ESS's Q1 2026 earnings release/supplemental and conference call, guidance disclosures, share-price history through July 28, 2026, and recent macro (labor-market/geopolitical) news. Not investment advice.</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2026-07-29T01:57:57Z</dcterms:created>
  <dcterms:modified xsi:type="dcterms:W3CDTF">2026-07-29T01:57:57Z</dcterms:modified>
</cp:coreProperties>
</file>

<file path=docProps/custom.xml><?xml version="1.0" encoding="utf-8"?>
<Properties xmlns="http://schemas.openxmlformats.org/officeDocument/2006/custom-properties" xmlns:vt="http://schemas.openxmlformats.org/officeDocument/2006/docPropsVTypes"/>
</file>