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ss-earnings-predictions--2026-07-29"/>
    <w:p>
      <w:pPr>
        <w:pStyle w:val="Heading1"/>
      </w:pPr>
      <w:r>
        <w:t xml:space="preserve">ESS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Core FFO per diluted 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~$4.03 vs. cons $3.98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Same-Property Revenue Growth (YoY%)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~3.2% vs. cons 2.7%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Same-Property NOI Growth (YoY%)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~3.6% vs. cons 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 per diluted share guidance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~$16.07 vs. cons $15.96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Revenue Growth guidance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~2.70% vs. cons 2.45%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Same-Property NOI Growth guidance (midpoint)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~2.60% vs. cons 2.20%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Core FFO per diluted share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~$4.06 vs. cons $4.02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ESS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-0.4% (FADE)</w:t>
            </w:r>
          </w:p>
        </w:tc>
        <w:tc>
          <w:tcPr/>
          <w:p>
            <w:pPr>
              <w:pStyle w:val="Compact"/>
            </w:pPr>
            <w:r>
              <w:t xml:space="preserve">Beat-and-raise is largely pre-signaled by the accelerating blended lease disclosures (1.4%→3.1%→3.7%) already shared at REITweek, so the incremental information content is modest and mostly known to sophisticated holders; sector precedent (UDR beat/raised yet sold off) shows execution alone isn't enough once expectations are elevated after ESS's ~15% run since Q1. Out-period math is only mildly supportive: the raise mostly reflects known H1 strength plus the pulled-forward $90M redemption being a non-recurring FFO drag that's now behind, not a structural re-rating of 2027 NOI growth, while LA/Seattle still need to prove sustained inflection. Expect the initial pop to partially fade over the week as sell-side nudges 2026 numbers up modestly but leaves 2027 estimates largely unchanged, capping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2026-07-29T02:01:47Z</dcterms:created>
  <dcterms:modified xsi:type="dcterms:W3CDTF">2026-07-29T02:01:47Z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