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c37e169ce064265084dd0204a5b6cd15d8d4123"/>
    <w:p>
      <w:pPr>
        <w:pStyle w:val="Heading1"/>
      </w:pPr>
      <w:r>
        <w:t xml:space="preserve">Essex Property Trust (ESS) — Q2 2026 Earnings Preview</w:t>
      </w:r>
    </w:p>
    <w:p>
      <w:pPr>
        <w:pStyle w:val="FirstParagraph"/>
      </w:pPr>
      <w:r>
        <w:rPr>
          <w:b/>
          <w:bCs/>
        </w:rPr>
        <w:t xml:space="preserve">Report Date:</w:t>
      </w:r>
      <w:r>
        <w:t xml:space="preserve"> </w:t>
      </w:r>
      <w:r>
        <w:t xml:space="preserve">Wednesday, July 29, 2026 (before market open); call at 10:00 a.m. PT / 1:00 p.m. ET</w:t>
      </w:r>
      <w:r>
        <w:t xml:space="preserve"> </w:t>
      </w:r>
      <w:r>
        <w:rPr>
          <w:b/>
          <w:bCs/>
        </w:rPr>
        <w:t xml:space="preserve">Current Price:</w:t>
      </w:r>
      <w:r>
        <w:t xml:space="preserve"> </w:t>
      </w:r>
      <w:r>
        <w:t xml:space="preserve">~</w:t>
      </w:r>
      <m:oMath>
        <m:r>
          <m:t>294.56</m:t>
        </m:r>
        <m:r>
          <m:rPr>
            <m:sty m:val="p"/>
          </m:rPr>
          <m:t>(</m:t>
        </m:r>
        <m:r>
          <m:t>a</m:t>
        </m:r>
        <m:r>
          <m:t>s</m:t>
        </m:r>
        <m:r>
          <m:t>o</m:t>
        </m:r>
        <m:r>
          <m:t>f</m:t>
        </m:r>
        <m:r>
          <m:t>7</m:t>
        </m:r>
        <m:r>
          <m:rPr>
            <m:sty m:val="p"/>
          </m:rPr>
          <m:t>/</m:t>
        </m:r>
        <m:r>
          <m:t>28</m:t>
        </m:r>
        <m:r>
          <m:rPr>
            <m:sty m:val="p"/>
          </m:rPr>
          <m:t>/</m:t>
        </m:r>
        <m:r>
          <m:t>26</m:t>
        </m:r>
        <m:r>
          <m:rPr>
            <m:sty m:val="p"/>
          </m:rPr>
          <m:t>)</m:t>
        </m:r>
        <m:r>
          <m:rPr>
            <m:sty m:val="p"/>
          </m:rPr>
          <m:t>,</m:t>
        </m:r>
        <m:r>
          <m:t>u</m:t>
        </m:r>
        <m:r>
          <m:t>p</m:t>
        </m:r>
        <m:r>
          <m:t>f</m:t>
        </m:r>
        <m:r>
          <m:t>r</m:t>
        </m:r>
        <m:r>
          <m:t>o</m:t>
        </m:r>
        <m:r>
          <m:t>m</m:t>
        </m:r>
        <m:r>
          <m:t> </m:t>
        </m:r>
      </m:oMath>
      <w:r>
        <w:t xml:space="preserve">257 at the start of 2026 and up sharply from the ~$242 average price at which management was buying back stock in Q1</w:t>
      </w:r>
    </w:p>
    <w:p>
      <w:r>
        <w:pict>
          <v:rect style="width:0;height:1.5pt" o:hralign="center" o:hrstd="t" o:hr="t"/>
        </w:pict>
      </w:r>
    </w:p>
    <w:bookmarkStart w:id="9" w:name="X636b52dd95d19fa2019c044e97f95a3dbc7da95"/>
    <w:p>
      <w:pPr>
        <w:pStyle w:val="Heading2"/>
      </w:pPr>
      <w:r>
        <w:t xml:space="preserve">1. Setting the Stage: What Happened Last Quarter</w:t>
      </w:r>
    </w:p>
    <w:p>
      <w:pPr>
        <w:pStyle w:val="FirstParagraph"/>
      </w:pPr>
      <w:r>
        <w:t xml:space="preserve">Essex came into 2026 with a cautious posture, and Q1 turned out better than plan. We delivered a solid first quarter with core FFO per share exceeding the high end of our guidance range and same property revenues trending ahead of plan. Specifically, the company grew Core FFO per diluted share by 2.3% compared to the first quarter of 2025, exceeding the midpoint of the Company's guidance range by $0.11, with the outperformance primarily driven by favorable same-property net operating income. Same-property revenue and NOI growth came in at 2.9% and 4.1%, respectively, versus Q1 2025.</w:t>
      </w:r>
    </w:p>
    <w:p>
      <w:pPr>
        <w:pStyle w:val="BodyText"/>
      </w:pPr>
      <w:r>
        <w:t xml:space="preserve">Management reaffirmed full-year guidance rather than raising it, wanting more visibility into the peak leasing season — a decision that sets up this quarter as an important data point. While we have started off the year in a solid position with revenue growth trending ahead of plan, we'd like to get further visibility into peak leasing season before adjusting our forecast due to the current macro uncertainty.</w:t>
      </w:r>
    </w:p>
    <w:bookmarkEnd w:id="9"/>
    <w:bookmarkStart w:id="10" w:name="Xff4bd55263bccef09b97b171910e7e90eb9cc32"/>
    <w:p>
      <w:pPr>
        <w:pStyle w:val="Heading2"/>
      </w:pPr>
      <w:r>
        <w:t xml:space="preserve">2. Key Guidance Numbers to Track</w:t>
      </w:r>
    </w:p>
    <w:p>
      <w:pPr>
        <w:pStyle w:val="FirstParagraph"/>
      </w:pPr>
      <w:r>
        <w:t xml:space="preserve">Current full-year 2026 guidance (reaffirmed at Q1):</w:t>
      </w:r>
    </w:p>
    <w:p>
      <w:pPr>
        <w:pStyle w:val="Compact"/>
        <w:numPr>
          <w:ilvl w:val="0"/>
          <w:numId w:val="1001"/>
        </w:numPr>
      </w:pPr>
      <w:r>
        <w:rPr>
          <w:b/>
          <w:bCs/>
        </w:rPr>
        <w:t xml:space="preserve">Core FFO per diluted share:</w:t>
      </w:r>
      <w:r>
        <w:t xml:space="preserve"> </w:t>
      </w:r>
      <m:oMath>
        <m:r>
          <m:t>15.69</m:t>
        </m:r>
        <m:r>
          <m:rPr>
            <m:sty m:val="p"/>
          </m:rPr>
          <m:t>–</m:t>
        </m:r>
      </m:oMath>
      <w:r>
        <w:t xml:space="preserve">16.19, midpoint $15.94</w:t>
      </w:r>
    </w:p>
    <w:p>
      <w:pPr>
        <w:pStyle w:val="Compact"/>
        <w:numPr>
          <w:ilvl w:val="0"/>
          <w:numId w:val="1001"/>
        </w:numPr>
      </w:pPr>
      <w:r>
        <w:rPr>
          <w:b/>
          <w:bCs/>
        </w:rPr>
        <w:t xml:space="preserve">Same-property revenue growth:</w:t>
      </w:r>
      <w:r>
        <w:t xml:space="preserve"> </w:t>
      </w:r>
      <w:r>
        <w:t xml:space="preserve">1.70%–3.10%, midpoint 2.40%</w:t>
      </w:r>
    </w:p>
    <w:p>
      <w:pPr>
        <w:pStyle w:val="Compact"/>
        <w:numPr>
          <w:ilvl w:val="0"/>
          <w:numId w:val="1001"/>
        </w:numPr>
      </w:pPr>
      <w:r>
        <w:rPr>
          <w:b/>
          <w:bCs/>
        </w:rPr>
        <w:t xml:space="preserve">Same-property NOI growth:</w:t>
      </w:r>
      <w:r>
        <w:t xml:space="preserve"> </w:t>
      </w:r>
      <w:r>
        <w:t xml:space="preserve">0.80%–3.40%, midpoint 2.10%</w:t>
      </w:r>
    </w:p>
    <w:p>
      <w:pPr>
        <w:pStyle w:val="Compact"/>
        <w:numPr>
          <w:ilvl w:val="0"/>
          <w:numId w:val="1001"/>
        </w:numPr>
      </w:pPr>
      <w:r>
        <w:rPr>
          <w:b/>
          <w:bCs/>
        </w:rPr>
        <w:t xml:space="preserve">Q2 2026 Core FFO guidance:</w:t>
      </w:r>
      <w:r>
        <w:t xml:space="preserve"> </w:t>
      </w:r>
      <m:oMath>
        <m:r>
          <m:t>3.92</m:t>
        </m:r>
        <m:r>
          <m:rPr>
            <m:sty m:val="p"/>
          </m:rPr>
          <m:t>–</m:t>
        </m:r>
      </m:oMath>
      <w:r>
        <w:t xml:space="preserve">4.04, midpoint $3.98</w:t>
      </w:r>
    </w:p>
    <w:p>
      <w:pPr>
        <w:pStyle w:val="FirstParagraph"/>
      </w:pPr>
      <w:r>
        <w:t xml:space="preserve">Two moving pieces are baked into this year's FFO bridge that investors should keep in mind: full-year 2026 guidance was updated to include an additional $90 million in early structured finance redemptions set to occur in the second quarter of 2026, which was not previously expected in the original plan, a headwind that management said is effectively offset by the benefits from the buybacks, with the full year forecast unchanged. Notably, on the Q1 call CFO Barb Pak indicated the $90 million redemption is effectively maturities that were set to mature in '27 and '28... pulled forward into 2026, meaning the headwind is effectively behind us at this point — a modest positive read for out-year comparability. On timing, expect the redemption to show up mid-quarter: They're expected to be redeemed in the second quarter... if you model mid-Q2 redemption, that will get you close on the guidance.</w:t>
      </w:r>
    </w:p>
    <w:bookmarkEnd w:id="10"/>
    <w:bookmarkStart w:id="11" w:name="Xf518e1eafe28309c64cae38e8106e932aa60460"/>
    <w:p>
      <w:pPr>
        <w:pStyle w:val="Heading2"/>
      </w:pPr>
      <w:r>
        <w:t xml:space="preserve">3. The Real Story: Leasing Momentum Into Peak Season</w:t>
      </w:r>
    </w:p>
    <w:p>
      <w:pPr>
        <w:pStyle w:val="FirstParagraph"/>
      </w:pPr>
      <w:r>
        <w:t xml:space="preserve">The most important underlying trend is the trajectory of blended lease rate growth as Essex moves through its seasonal peak (historically Q2/Q3). The cadence has been steadily accelerating:</w:t>
      </w:r>
    </w:p>
    <w:p>
      <w:pPr>
        <w:pStyle w:val="Compact"/>
        <w:numPr>
          <w:ilvl w:val="0"/>
          <w:numId w:val="1002"/>
        </w:numPr>
      </w:pPr>
      <w:r>
        <w:rPr>
          <w:b/>
          <w:bCs/>
        </w:rPr>
        <w:t xml:space="preserve">Q1 2026 blended:</w:t>
      </w:r>
      <w:r>
        <w:t xml:space="preserve"> </w:t>
      </w:r>
      <w:r>
        <w:t xml:space="preserve">1.4% same-store blended rent growth of 1.4% for the quarter, which is generally in line with our expectations as we execute an occupancy-focused strategy ahead of the peak leasing season</w:t>
      </w:r>
    </w:p>
    <w:p>
      <w:pPr>
        <w:pStyle w:val="Compact"/>
        <w:numPr>
          <w:ilvl w:val="0"/>
          <w:numId w:val="1002"/>
        </w:numPr>
      </w:pPr>
      <w:r>
        <w:rPr>
          <w:b/>
          <w:bCs/>
        </w:rPr>
        <w:t xml:space="preserve">April:</w:t>
      </w:r>
      <w:r>
        <w:t xml:space="preserve"> </w:t>
      </w:r>
      <w:r>
        <w:t xml:space="preserve">north of 3%, specifically 3.1% new is about negative 90 basis points and renewal is about 5%. So that takes April to 3.1%.</w:t>
      </w:r>
    </w:p>
    <w:p>
      <w:pPr>
        <w:pStyle w:val="Compact"/>
        <w:numPr>
          <w:ilvl w:val="0"/>
          <w:numId w:val="1002"/>
        </w:numPr>
      </w:pPr>
      <w:r>
        <w:rPr>
          <w:b/>
          <w:bCs/>
        </w:rPr>
        <w:t xml:space="preserve">May:</w:t>
      </w:r>
      <w:r>
        <w:t xml:space="preserve"> </w:t>
      </w:r>
      <w:r>
        <w:t xml:space="preserve">accelerated further to</w:t>
      </w:r>
      <w:r>
        <w:t xml:space="preserve"> </w:t>
      </w:r>
      <w:r>
        <w:rPr>
          <w:b/>
          <w:bCs/>
        </w:rPr>
        <w:t xml:space="preserve">3.7%</w:t>
      </w:r>
      <w:r>
        <w:t xml:space="preserve">, as disclosed at the June 3 Nareit REITweek conference — your blended lease rate growth was 1.4% in the first quarter, going up to 3.1% in April and then 3.7% in May, which management confirmed was definitely heading the right direction, and we're seeing that momentum continuing.</w:t>
      </w:r>
    </w:p>
    <w:p>
      <w:pPr>
        <w:pStyle w:val="FirstParagraph"/>
      </w:pPr>
      <w:r>
        <w:t xml:space="preserve">This is the single most encouraging signal ahead of tomorrow's print — if this trajectory held into June, same-property revenue growth for Q2 should land comfortably within (or above) guidance, and could be the catalyst for the guidance raise management demurred on in April. As of the June conference, management indicated it would revisit full-year guidance once Q2 was in hand: we are trending ahead of our guidance. Having said that, we'll probably look at -- once we have the second quarter numbers and when we're well into our peak leasing season, we'll revisit how we're going to guide the Street.</w:t>
      </w:r>
    </w:p>
    <w:bookmarkEnd w:id="11"/>
    <w:bookmarkStart w:id="12" w:name="X5aa90245ec353ee7f25daacb830a3f13b1f53f3"/>
    <w:p>
      <w:pPr>
        <w:pStyle w:val="Heading2"/>
      </w:pPr>
      <w:r>
        <w:t xml:space="preserve">4. Regional Scorecard — Where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Region</w:t>
            </w:r>
          </w:p>
        </w:tc>
        <w:tc>
          <w:tcPr/>
          <w:p>
            <w:pPr>
              <w:pStyle w:val="Compact"/>
            </w:pPr>
            <w:r>
              <w:t xml:space="preserve">Q1 2026 Revenue Growth (YoY)</w:t>
            </w:r>
          </w:p>
        </w:tc>
        <w:tc>
          <w:tcPr/>
          <w:p>
            <w:pPr>
              <w:pStyle w:val="Compact"/>
            </w:pPr>
            <w:r>
              <w:t xml:space="preserve">Trend</w:t>
            </w:r>
          </w:p>
        </w:tc>
      </w:tr>
      <w:tr>
        <w:tc>
          <w:tcPr/>
          <w:p>
            <w:pPr>
              <w:pStyle w:val="Compact"/>
            </w:pPr>
            <w:r>
              <w:t xml:space="preserve">Northern California</w:t>
            </w:r>
          </w:p>
        </w:tc>
        <w:tc>
          <w:tcPr/>
          <w:p>
            <w:pPr>
              <w:pStyle w:val="Compact"/>
            </w:pPr>
            <w:r>
              <w:t xml:space="preserve">+3.9%</w:t>
            </w:r>
          </w:p>
        </w:tc>
        <w:tc>
          <w:tcPr/>
          <w:p>
            <w:pPr>
              <w:pStyle w:val="Compact"/>
            </w:pPr>
            <w:r>
              <w:t xml:space="preserve">Best performer; AI/tech-driven demand</w:t>
            </w:r>
          </w:p>
        </w:tc>
      </w:tr>
      <w:tr>
        <w:tc>
          <w:tcPr/>
          <w:p>
            <w:pPr>
              <w:pStyle w:val="Compact"/>
            </w:pPr>
            <w:r>
              <w:t xml:space="preserve">Southern California</w:t>
            </w:r>
          </w:p>
        </w:tc>
        <w:tc>
          <w:tcPr/>
          <w:p>
            <w:pPr>
              <w:pStyle w:val="Compact"/>
            </w:pPr>
            <w:r>
              <w:t xml:space="preserve">+2.2%</w:t>
            </w:r>
          </w:p>
        </w:tc>
        <w:tc>
          <w:tcPr/>
          <w:p>
            <w:pPr>
              <w:pStyle w:val="Compact"/>
            </w:pPr>
            <w:r>
              <w:t xml:space="preserve">Stable, LA lagging</w:t>
            </w:r>
          </w:p>
        </w:tc>
      </w:tr>
      <w:tr>
        <w:tc>
          <w:tcPr/>
          <w:p>
            <w:pPr>
              <w:pStyle w:val="Compact"/>
            </w:pPr>
            <w:r>
              <w:t xml:space="preserve">Seattle Metro</w:t>
            </w:r>
          </w:p>
        </w:tc>
        <w:tc>
          <w:tcPr/>
          <w:p>
            <w:pPr>
              <w:pStyle w:val="Compact"/>
            </w:pPr>
            <w:r>
              <w:t xml:space="preserve">+2.3%</w:t>
            </w:r>
          </w:p>
        </w:tc>
        <w:tc>
          <w:tcPr/>
          <w:p>
            <w:pPr>
              <w:pStyle w:val="Compact"/>
            </w:pPr>
            <w:r>
              <w:t xml:space="preserve">Recovering from supply overhang</w:t>
            </w:r>
          </w:p>
        </w:tc>
      </w:tr>
    </w:tbl>
    <w:p>
      <w:pPr>
        <w:pStyle w:val="BodyText"/>
      </w:pPr>
      <w:r>
        <w:rPr>
          <w:b/>
          <w:bCs/>
        </w:rPr>
        <w:t xml:space="preserve">Northern California</w:t>
      </w:r>
      <w:r>
        <w:t xml:space="preserve"> </w:t>
      </w:r>
      <w:r>
        <w:t xml:space="preserve">remains the standout, powered by AI-related hiring and startup formation. Northern California was our best market, performing ahead of plan for the quarter, with blended rent growth of 3.2% led by San Francisco and San Mateo, followed by Santa Clara County. Management's long-term thesis rests on affordability catch-up: our current rent-to-median income ratios in Northern California stand at around 21.5% compared to a 20-year average of almost 26% and a historical peak over the past 20 years, closer to 32%.</w:t>
      </w:r>
    </w:p>
    <w:p>
      <w:pPr>
        <w:pStyle w:val="BodyText"/>
      </w:pPr>
      <w:r>
        <w:rPr>
          <w:b/>
          <w:bCs/>
        </w:rPr>
        <w:t xml:space="preserve">Seattle</w:t>
      </w:r>
      <w:r>
        <w:t xml:space="preserve"> </w:t>
      </w:r>
      <w:r>
        <w:t xml:space="preserve">was soft in Q1 (blended rent growth of -0.8%) but management flagged sequential improvement each month as legacy supply gets absorbed, and by June was describing lease rates as ahead of expectations.</w:t>
      </w:r>
      <w:r>
        <w:t xml:space="preserve"> </w:t>
      </w:r>
      <w:r>
        <w:rPr>
          <w:b/>
          <w:bCs/>
        </w:rPr>
        <w:t xml:space="preserve">Southern California / LA</w:t>
      </w:r>
      <w:r>
        <w:t xml:space="preserve"> </w:t>
      </w:r>
      <w:r>
        <w:t xml:space="preserve">remains the laggard — L.A. is progressing at a glacial pace... it will flip to 90 basis points positive if excluded from the portfolio — with occupancy the key gating factor: pricing power will be available to us once we hit 95%, and we're feeling good that we're close to it. Watch for updated commentary on whether LA finally crosses that occupancy threshold.</w:t>
      </w:r>
    </w:p>
    <w:bookmarkEnd w:id="12"/>
    <w:bookmarkStart w:id="13" w:name="X08b369059782acc7cacecb68e554a329948a705"/>
    <w:p>
      <w:pPr>
        <w:pStyle w:val="Heading2"/>
      </w:pPr>
      <w:r>
        <w:t xml:space="preserve">5. Capital Allocation &amp; Balance Sheet</w:t>
      </w:r>
    </w:p>
    <w:p>
      <w:pPr>
        <w:pStyle w:val="FirstParagraph"/>
      </w:pPr>
      <w:r>
        <w:t xml:space="preserve">Essex leaned into buybacks in Q1 when its stock traded at a wide discount to private-market values: Repurchased $61.9 million of common stock year-to-date, including commissions, at an average price per share of $243.76. Management framed this as opportunistic given the disconnect between public and private pricing: with our stock trading close to a 6% implied cap rate over the past several months, which is a significant discount to private market valuation, we shifted gears and repurchased approximately $62 million of stock. With the stock now ~20% above that repurchase price, that trade has proven timely — and raises the question of whether buybacks continue at this valuation or capital rotates back toward acquisitions/development (including the ADU program, which management called out as generating a 10% return on cost).</w:t>
      </w:r>
    </w:p>
    <w:p>
      <w:pPr>
        <w:pStyle w:val="BodyText"/>
      </w:pPr>
      <w:r>
        <w:t xml:space="preserve">The balance sheet remains solid: net debt to EBITDA of 5.5x, over $1 billion in available liquidity and ample sources of available capital, the balance sheet remains in a strong position, with immediately available liquidity was over $1.7 billion as of quarter-end and no meaningful near-term unsecured maturities after repaying $450 million of bonds in April. Essex also extended its dividend growth streak: Increased the dividend by 0.8% to an annual distribution of $10.36 per common share, the Company's 32nd consecutive annual increase.</w:t>
      </w:r>
    </w:p>
    <w:bookmarkEnd w:id="13"/>
    <w:bookmarkStart w:id="14" w:name="X383ef0a754ce938595dfd4e4f56764a6b19a31a"/>
    <w:p>
      <w:pPr>
        <w:pStyle w:val="Heading2"/>
      </w:pPr>
      <w:r>
        <w:t xml:space="preserve">6. Sector Backdrop: A Reshaped Competitive Landscape</w:t>
      </w:r>
    </w:p>
    <w:p>
      <w:pPr>
        <w:pStyle w:val="FirstParagraph"/>
      </w:pPr>
      <w:r>
        <w:t xml:space="preserve">The apartment REIT peer group has undergone a landmark change since Essex last reported. On May 20-21, 2026, AvalonBay and Equity Residential announced a merger of equals creating a combined company with greater scale... the preeminent multifamily real estate company with a pro forma equity market capitalization of approximately $52 billion and an enterprise value of approximately $69 billion, with more than 180,000 rental apartments. Essex's own CEO addressed this directly at the June conference, noting it leaves Essex as effectively the last pure-play coastal/West Coast multifamily REIT, though she was measured on the competitive implications: I don't expect that to have any impact on our operations. I mean we run an incredibly efficient operating model.</w:t>
      </w:r>
    </w:p>
    <w:p>
      <w:pPr>
        <w:pStyle w:val="BodyText"/>
      </w:pPr>
      <w:r>
        <w:t xml:space="preserve">Peer Q2 prints have generally been solid, setting a constructive tone ahead of Essex's report:</w:t>
      </w:r>
    </w:p>
    <w:p>
      <w:pPr>
        <w:pStyle w:val="Compact"/>
        <w:numPr>
          <w:ilvl w:val="0"/>
          <w:numId w:val="1003"/>
        </w:numPr>
      </w:pPr>
      <w:r>
        <w:rPr>
          <w:b/>
          <w:bCs/>
        </w:rPr>
        <w:t xml:space="preserve">AvalonBay:</w:t>
      </w:r>
      <w:r>
        <w:t xml:space="preserve"> </w:t>
      </w:r>
      <w:r>
        <w:t xml:space="preserve">beat estimates and raised guidance — Q2 FFO of $2.86 vs. $2.81 expected, with the company raising full-year NOI guidance.</w:t>
      </w:r>
    </w:p>
    <w:p>
      <w:pPr>
        <w:pStyle w:val="Compact"/>
        <w:numPr>
          <w:ilvl w:val="0"/>
          <w:numId w:val="1003"/>
        </w:numPr>
      </w:pPr>
      <w:r>
        <w:rPr>
          <w:b/>
          <w:bCs/>
        </w:rPr>
        <w:t xml:space="preserve">Equity Residential:</w:t>
      </w:r>
      <w:r>
        <w:t xml:space="preserve"> </w:t>
      </w:r>
      <w:r>
        <w:t xml:space="preserve">modest beat ($1.02 vs. $1.01 Street estimate) with guidance nudged higher, driven by strong San Francisco momentum and improving bad debt.</w:t>
      </w:r>
    </w:p>
    <w:p>
      <w:pPr>
        <w:pStyle w:val="Compact"/>
        <w:numPr>
          <w:ilvl w:val="0"/>
          <w:numId w:val="1003"/>
        </w:numPr>
      </w:pPr>
      <w:r>
        <w:rPr>
          <w:b/>
          <w:bCs/>
        </w:rPr>
        <w:t xml:space="preserve">UDR:</w:t>
      </w:r>
      <w:r>
        <w:t xml:space="preserve"> </w:t>
      </w:r>
      <w:r>
        <w:t xml:space="preserve">beat Q2 FFOA estimates and raised full-year guidance ranges for same-store growth and FFOA, though shares fell sharply after the print despite the beat/raise — a reminder that positive results don't guarantee a positive stock reaction in this tape.</w:t>
      </w:r>
    </w:p>
    <w:p>
      <w:pPr>
        <w:pStyle w:val="FirstParagraph"/>
      </w:pPr>
      <w:r>
        <w:t xml:space="preserve">Given Essex's disproportionate West Coast/tech exposure, the read-through from EQR's San Francisco strength is particularly relevant.</w:t>
      </w:r>
    </w:p>
    <w:bookmarkEnd w:id="14"/>
    <w:bookmarkStart w:id="15" w:name="X55360dca86c0a87028bb7e0c19aaea91d9ed74c"/>
    <w:p>
      <w:pPr>
        <w:pStyle w:val="Heading2"/>
      </w:pPr>
      <w:r>
        <w:t xml:space="preserve">7. Key Questions for Tomorrow's Call</w:t>
      </w:r>
    </w:p>
    <w:p>
      <w:pPr>
        <w:pStyle w:val="Compact"/>
        <w:numPr>
          <w:ilvl w:val="0"/>
          <w:numId w:val="1004"/>
        </w:numPr>
      </w:pPr>
      <w:r>
        <w:rPr>
          <w:b/>
          <w:bCs/>
        </w:rPr>
        <w:t xml:space="preserve">Does management finally raise full-year guidance?</w:t>
      </w:r>
      <w:r>
        <w:t xml:space="preserve"> </w:t>
      </w:r>
      <w:r>
        <w:t xml:space="preserve">Given accelerating blends (1.4% → 3.1% → 3.7%) and peer guidance raises, the bar is arguably set for an upgrade to same-property revenue/NOI guidance.</w:t>
      </w:r>
    </w:p>
    <w:p>
      <w:pPr>
        <w:pStyle w:val="Compact"/>
        <w:numPr>
          <w:ilvl w:val="0"/>
          <w:numId w:val="1004"/>
        </w:numPr>
      </w:pPr>
      <w:r>
        <w:rPr>
          <w:b/>
          <w:bCs/>
        </w:rPr>
        <w:t xml:space="preserve">Where did June/July blended rents land?</w:t>
      </w:r>
      <w:r>
        <w:t xml:space="preserve"> </w:t>
      </w:r>
      <w:r>
        <w:t xml:space="preserve">Investors will want the June-through-July cadence to confirm whether peak-season strength continued or decelerated as flagged as a risk at the Q1 call: I don't know the exact magnitude at this point... it wouldn't surprise me that, that drop becomes more significant.</w:t>
      </w:r>
    </w:p>
    <w:p>
      <w:pPr>
        <w:pStyle w:val="Compact"/>
        <w:numPr>
          <w:ilvl w:val="0"/>
          <w:numId w:val="1004"/>
        </w:numPr>
      </w:pPr>
      <w:r>
        <w:rPr>
          <w:b/>
          <w:bCs/>
        </w:rPr>
        <w:t xml:space="preserve">LA/Southern California occupancy</w:t>
      </w:r>
      <w:r>
        <w:t xml:space="preserve"> </w:t>
      </w:r>
      <w:r>
        <w:t xml:space="preserve">— has the portfolio crossed the ~95% economic occupancy threshold that management says will unlock pricing power?</w:t>
      </w:r>
    </w:p>
    <w:p>
      <w:pPr>
        <w:pStyle w:val="Compact"/>
        <w:numPr>
          <w:ilvl w:val="0"/>
          <w:numId w:val="1004"/>
        </w:numPr>
      </w:pPr>
      <w:r>
        <w:rPr>
          <w:b/>
          <w:bCs/>
        </w:rPr>
        <w:t xml:space="preserve">Seattle trajectory</w:t>
      </w:r>
      <w:r>
        <w:t xml:space="preserve"> </w:t>
      </w:r>
      <w:r>
        <w:t xml:space="preserve">— is the market continuing to "catch up" toward Bay Area performance as supply abates?</w:t>
      </w:r>
    </w:p>
    <w:p>
      <w:pPr>
        <w:pStyle w:val="Compact"/>
        <w:numPr>
          <w:ilvl w:val="0"/>
          <w:numId w:val="1004"/>
        </w:numPr>
      </w:pPr>
      <w:r>
        <w:rPr>
          <w:b/>
          <w:bCs/>
        </w:rPr>
        <w:t xml:space="preserve">Capital allocation</w:t>
      </w:r>
      <w:r>
        <w:t xml:space="preserve"> </w:t>
      </w:r>
      <w:r>
        <w:t xml:space="preserve">— with the stock re-rated well above the average Q1 buyback price, will Essex pivot back toward acquisitions/development/ADUs, or continue repurchases?</w:t>
      </w:r>
    </w:p>
    <w:p>
      <w:pPr>
        <w:pStyle w:val="Compact"/>
        <w:numPr>
          <w:ilvl w:val="0"/>
          <w:numId w:val="1004"/>
        </w:numPr>
      </w:pPr>
      <w:r>
        <w:rPr>
          <w:b/>
          <w:bCs/>
        </w:rPr>
        <w:t xml:space="preserve">Structured finance/preferred book</w:t>
      </w:r>
      <w:r>
        <w:t xml:space="preserve"> </w:t>
      </w:r>
      <w:r>
        <w:t xml:space="preserve">— any updates on the two investments management stopped accruing on, and whether further volatility is expected.</w:t>
      </w:r>
    </w:p>
    <w:p>
      <w:pPr>
        <w:pStyle w:val="Compact"/>
        <w:numPr>
          <w:ilvl w:val="0"/>
          <w:numId w:val="1004"/>
        </w:numPr>
      </w:pPr>
      <w:r>
        <w:rPr>
          <w:b/>
          <w:bCs/>
        </w:rPr>
        <w:t xml:space="preserve">Competitive/strategic commentary</w:t>
      </w:r>
      <w:r>
        <w:t xml:space="preserve"> </w:t>
      </w:r>
      <w:r>
        <w:t xml:space="preserve">on the AVB-EQR merger of equals now that leadership and integration details have been announced, and any read-through to Essex's own strategic positioning or M&amp;A appetite.</w:t>
      </w:r>
    </w:p>
    <w:p>
      <w:pPr>
        <w:pStyle w:val="Compact"/>
        <w:numPr>
          <w:ilvl w:val="0"/>
          <w:numId w:val="1004"/>
        </w:numPr>
      </w:pPr>
      <w:r>
        <w:rPr>
          <w:b/>
          <w:bCs/>
        </w:rPr>
        <w:t xml:space="preserve">Macro sensitivity</w:t>
      </w:r>
      <w:r>
        <w:t xml:space="preserve"> </w:t>
      </w:r>
      <w:r>
        <w:t xml:space="preserve">— commentary on tech layoffs vs. AI-driven hiring, immigration/visa trends, and California's proposed wealth tax, all of which came up repeatedly on prior calls as watch items rather than current headwinds.</w:t>
      </w:r>
    </w:p>
    <w:bookmarkEnd w:id="15"/>
    <w:bookmarkStart w:id="16" w:name="X59a56c4de27670f2623d3582f339eb306b624b0"/>
    <w:p>
      <w:pPr>
        <w:pStyle w:val="Heading2"/>
      </w:pPr>
      <w:r>
        <w:t xml:space="preserve">8. Bottom Line</w:t>
      </w:r>
    </w:p>
    <w:p>
      <w:pPr>
        <w:pStyle w:val="FirstParagraph"/>
      </w:pPr>
      <w:r>
        <w:t xml:space="preserve">Essex heads into this print with real momentum — accelerating blended lease growth into peak season, a still-pristine balance sheet, an opportunistically-timed buyback, and a peer group (AVB, EQR, UDR) that has broadly beaten and raised guidance. The setup argues for a solid quarter and a plausible guidance raise, but the stock's ~15% run since April Q1 earnings (from ~</w:t>
      </w:r>
      <m:oMath>
        <m:r>
          <m:t>257</m:t>
        </m:r>
        <m:r>
          <m:t>t</m:t>
        </m:r>
        <m:r>
          <m:t>o</m:t>
        </m:r>
        <m:r>
          <m:t> </m:t>
        </m:r>
      </m:oMath>
      <w:r>
        <w:t xml:space="preserve">295) means expectations are elevated, and the market's mixed reaction to UDR's beat-and-raise print is a reminder that execution alone may not be enough — investors will be looking for confirmation that Northern California's AI-driven strength is broadening, and that Seattle and LA are genuinely inflecting, not just stabilizing.</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2026-07-29T02:01:47Z</dcterms:created>
  <dcterms:modified xsi:type="dcterms:W3CDTF">2026-07-29T02:01:47Z</dcterms:modified>
</cp:coreProperties>
</file>

<file path=docProps/custom.xml><?xml version="1.0" encoding="utf-8"?>
<Properties xmlns="http://schemas.openxmlformats.org/officeDocument/2006/custom-properties" xmlns:vt="http://schemas.openxmlformats.org/officeDocument/2006/docPropsVTypes"/>
</file>