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ss-earnings-predictions--2026-07-29"/>
    <w:p>
      <w:pPr>
        <w:pStyle w:val="Heading1"/>
      </w:pPr>
      <w:r>
        <w:t xml:space="preserve">ESS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 per diluted share (2026Q2)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~$4.07 vs. cons $3.98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Same-property revenue growth (2026Q2)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~3.1% vs. cons 3.0%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Same-property NOI growth (2026Q2)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~2.7% vs. cons 2.6%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FFO per diluted share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~$16.04 vs. cons $16.02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Same-property 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~2.7% vs. cons 2.6% (FY2026 midpoint)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Same-property NOI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~2.4% vs. cons 2.3% (FY2026 midpoint)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FFO per diluted share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~$3.96 vs. cons $4.00 (2026Q3)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+0.6% (FADE)</w:t>
            </w:r>
          </w:p>
        </w:tc>
        <w:tc>
          <w:tcPr/>
          <w:p>
            <w:pPr>
              <w:pStyle w:val="Compact"/>
            </w:pPr>
            <w:r>
              <w:t xml:space="preserve">The Q2 beat and higher same-property guidance should drive an initial positive reaction, but guide ~$3.96 vs. cons</w:t>
            </w:r>
            <w:r>
              <w:t xml:space="preserve"> </w:t>
            </w:r>
            <m:oMath>
              <m:r>
                <m:t>4.00</m:t>
              </m:r>
              <m:r>
                <m:t>f</m:t>
              </m:r>
              <m:r>
                <m:t>o</m:t>
              </m:r>
              <m:r>
                <m:t>r</m:t>
              </m:r>
              <m:r>
                <m:t>2026</m:t>
              </m:r>
              <m:r>
                <m:t>Q</m:t>
              </m:r>
              <m:r>
                <m:t>3</m:t>
              </m:r>
              <m:r>
                <m:t>a</m:t>
              </m:r>
              <m:r>
                <m:t>n</m:t>
              </m:r>
              <m:r>
                <m:t>d</m:t>
              </m:r>
              <m:r>
                <m:t>a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16.04 vs. cons $16.02 imply that most of the annual raise merely captures the reported-quarter beat, leaving limited positive revision to second-half estimates.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2026-07-29T01:59:39Z</dcterms:created>
  <dcterms:modified xsi:type="dcterms:W3CDTF">2026-07-29T01:59:39Z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