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ess-2026-q2-earnings-preview"/>
    <w:p>
      <w:pPr>
        <w:pStyle w:val="Heading1"/>
      </w:pPr>
      <w:r>
        <w:t xml:space="preserve">ESS 2026 Q2 Earnings Preview</w:t>
      </w:r>
    </w:p>
    <w:p>
      <w:pPr>
        <w:pStyle w:val="BlockText"/>
      </w:pPr>
      <w:r>
        <w:rPr>
          <w:b/>
          <w:bCs/>
        </w:rPr>
        <w:t xml:space="preserve">Date note:</w:t>
      </w:r>
      <w:r>
        <w:t xml:space="preserve"> </w:t>
      </w:r>
      <w:r>
        <w:t xml:space="preserve">The event date provided—</w:t>
      </w:r>
      <w:r>
        <w:rPr>
          <w:b/>
          <w:bCs/>
        </w:rPr>
        <w:t xml:space="preserve">July 29, 2026</w:t>
      </w:r>
      <w:r>
        <w:t xml:space="preserve">—is today rather than tomorrow. This preview assumes Essex Property Trust’s Q2 results and/or earnings call are still forthcoming on July 29.</w:t>
      </w:r>
    </w:p>
    <w:bookmarkStart w:id="9" w:name="investment-setup"/>
    <w:p>
      <w:pPr>
        <w:pStyle w:val="Heading2"/>
      </w:pPr>
      <w:r>
        <w:t xml:space="preserve">Investment setup</w:t>
      </w:r>
    </w:p>
    <w:p>
      <w:pPr>
        <w:pStyle w:val="FirstParagraph"/>
      </w:pPr>
      <w:r>
        <w:t xml:space="preserve">Essex Property Trust enters the report with a favorable fundamental story but a considerably less forgiving valuation than it had three months ago.</w:t>
      </w:r>
    </w:p>
    <w:p>
      <w:pPr>
        <w:pStyle w:val="BodyText"/>
      </w:pPr>
      <w:r>
        <w:t xml:space="preserve">The core thesis is straightforward: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Northern California is benefiting from limited apartment supply, strong renter affordability and AI/technology-related employment demand.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Seattle appears to be recovering</w:t>
      </w:r>
      <w:r>
        <w:t xml:space="preserve"> </w:t>
      </w:r>
      <w:r>
        <w:t xml:space="preserve">as last year’s supply is absorbed.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Southern California remains stable but uneven</w:t>
      </w:r>
      <w:r>
        <w:t xml:space="preserve">, with Los Angeles still the portfolio’s weakest market.</w:t>
      </w:r>
    </w:p>
    <w:p>
      <w:pPr>
        <w:pStyle w:val="Compact"/>
        <w:numPr>
          <w:ilvl w:val="0"/>
          <w:numId w:val="1001"/>
        </w:numPr>
      </w:pPr>
      <w:r>
        <w:t xml:space="preserve">Essex’s balance sheet is strong enough to remain opportunistic with acquisitions, dispositions, development and share repurchases.</w:t>
      </w:r>
    </w:p>
    <w:p>
      <w:pPr>
        <w:pStyle w:val="FirstParagraph"/>
      </w:pPr>
      <w:r>
        <w:t xml:space="preserve">However, the stock closed at</w:t>
      </w:r>
      <w:r>
        <w:t xml:space="preserve"> </w:t>
      </w:r>
      <m:oMath>
        <m:r>
          <m:t>294.56</m:t>
        </m:r>
        <m:r>
          <m:t>o</m:t>
        </m:r>
        <m:r>
          <m:t>n</m:t>
        </m:r>
        <m:r>
          <m:t>J</m:t>
        </m:r>
        <m:r>
          <m:t>u</m:t>
        </m:r>
        <m:r>
          <m:t>l</m:t>
        </m:r>
        <m:r>
          <m:t>y</m:t>
        </m:r>
        <m:r>
          <m:t>28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12.6</m:t>
        </m:r>
      </m:oMath>
      <w:r>
        <w:rPr>
          <w:b/>
          <w:bCs/>
        </w:rPr>
        <w:t xml:space="preserve">15.94 per share</w:t>
      </w:r>
      <w:r>
        <w:t xml:space="preserve">, ESS trades at roughly</w:t>
      </w:r>
      <w:r>
        <w:t xml:space="preserve"> </w:t>
      </w:r>
      <w:r>
        <w:rPr>
          <w:b/>
          <w:bCs/>
        </w:rPr>
        <w:t xml:space="preserve">18.5x FFO</w:t>
      </w:r>
      <w:r>
        <w:t xml:space="preserve">, a</w:t>
      </w:r>
      <w:r>
        <w:t xml:space="preserve"> </w:t>
      </w:r>
      <w:r>
        <w:rPr>
          <w:b/>
          <w:bCs/>
        </w:rPr>
        <w:t xml:space="preserve">5.4% FFO yield</w:t>
      </w:r>
      <w:r>
        <w:t xml:space="preserve"> </w:t>
      </w:r>
      <w:r>
        <w:t xml:space="preserve">and a</w:t>
      </w:r>
      <w:r>
        <w:t xml:space="preserve"> </w:t>
      </w:r>
      <w:r>
        <w:rPr>
          <w:b/>
          <w:bCs/>
        </w:rPr>
        <w:t xml:space="preserve">3.5% dividend yield</w:t>
      </w:r>
      <w:r>
        <w:t xml:space="preserve">.</w:t>
      </w:r>
    </w:p>
    <w:p>
      <w:pPr>
        <w:pStyle w:val="BodyText"/>
      </w:pPr>
      <w:r>
        <w:t xml:space="preserve">That means investors will likely require more than an in-line quarter. The most important question is whether peak leasing-season results justify a higher full-year outlook.</w:t>
      </w:r>
    </w:p>
    <w:bookmarkEnd w:id="9"/>
    <w:bookmarkStart w:id="10" w:name="key-benchmarks"/>
    <w:p>
      <w:pPr>
        <w:pStyle w:val="Heading2"/>
      </w:pPr>
      <w:r>
        <w:t xml:space="preserve">Key benchmarks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Benchmark entering Q2</w:t>
            </w:r>
          </w:p>
        </w:tc>
      </w:tr>
      <w:tr>
        <w:tc>
          <w:tcPr/>
          <w:p>
            <w:pPr>
              <w:pStyle w:val="Compact"/>
            </w:pPr>
            <w:r>
              <w:t xml:space="preserve">Q2 2026 Core FFO guidance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3.92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4.04</w:t>
            </w:r>
          </w:p>
        </w:tc>
      </w:tr>
      <w:tr>
        <w:tc>
          <w:tcPr/>
          <w:p>
            <w:pPr>
              <w:pStyle w:val="Compact"/>
            </w:pPr>
            <w:r>
              <w:t xml:space="preserve">Q2 Core FFO midpoint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$3.98</w:t>
            </w:r>
          </w:p>
        </w:tc>
      </w:tr>
      <w:tr>
        <w:tc>
          <w:tcPr/>
          <w:p>
            <w:pPr>
              <w:pStyle w:val="Compact"/>
            </w:pPr>
            <w:r>
              <w:t xml:space="preserve">Q2 2025 Core FFO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$4.03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 Core FFO guidance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15.69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16.19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 Core FFO midpoint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$15.94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Same-property revenue guidance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1.7%–3.1%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Same-property expense guidance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2.5%–3.5%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Same-property NOI guidance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0.8%–3.4%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Q1 financial occupancy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96.5%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Q1 same-property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2.9%</w:t>
            </w:r>
          </w:p>
        </w:tc>
      </w:tr>
      <w:tr>
        <w:tc>
          <w:tcPr/>
          <w:p>
            <w:pPr>
              <w:pStyle w:val="Compact"/>
            </w:pPr>
            <w:r>
              <w:t xml:space="preserve">Q1 same-property NOI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4.1%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Q1 blended lease-rate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1.4%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April blended lease-rate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3.1%</w:t>
            </w:r>
          </w:p>
        </w:tc>
      </w:tr>
    </w:tbl>
    <w:p>
      <w:pPr>
        <w:pStyle w:val="BodyText"/>
      </w:pPr>
      <w:r>
        <w:t xml:space="preserve">No external consensus estimate was available through the provided tools, so the company’s own guidance is the most useful earnings benchmark.</w:t>
      </w:r>
    </w:p>
    <w:bookmarkEnd w:id="10"/>
    <w:bookmarkStart w:id="16" w:name="what-matters-most"/>
    <w:p>
      <w:pPr>
        <w:pStyle w:val="Heading2"/>
      </w:pPr>
      <w:r>
        <w:t xml:space="preserve">What matters most</w:t>
      </w:r>
    </w:p>
    <w:bookmarkStart w:id="11" w:name="Xda906619806c865557833d79ba53783f6b47ee0"/>
    <w:p>
      <w:pPr>
        <w:pStyle w:val="Heading3"/>
      </w:pPr>
      <w:r>
        <w:t xml:space="preserve">1. Peak leasing-season pricing</w:t>
      </w:r>
    </w:p>
    <w:p>
      <w:pPr>
        <w:pStyle w:val="FirstParagraph"/>
      </w:pPr>
      <w:r>
        <w:t xml:space="preserve">This is the report’s most important operating indicator.</w:t>
      </w:r>
    </w:p>
    <w:p>
      <w:pPr>
        <w:pStyle w:val="BodyText"/>
      </w:pPr>
      <w:r>
        <w:t xml:space="preserve">In Q1, Essex deliberately prioritized occupancy, producing: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96.5% financial occupancy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1.4% blended lease growth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–2.4% new-lease growth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3.9% renewal growth</w:t>
      </w:r>
    </w:p>
    <w:p>
      <w:pPr>
        <w:pStyle w:val="FirstParagraph"/>
      </w:pPr>
      <w:r>
        <w:t xml:space="preserve">Conditions had already strengthened in April:</w:t>
      </w:r>
    </w:p>
    <w:p>
      <w:pPr>
        <w:pStyle w:val="Compact"/>
        <w:numPr>
          <w:ilvl w:val="0"/>
          <w:numId w:val="1003"/>
        </w:numPr>
      </w:pPr>
      <w:r>
        <w:t xml:space="preserve">Blended growth accelerated to approximately</w:t>
      </w:r>
      <w:r>
        <w:t xml:space="preserve"> </w:t>
      </w:r>
      <w:r>
        <w:rPr>
          <w:b/>
          <w:bCs/>
        </w:rPr>
        <w:t xml:space="preserve">3.1%</w:t>
      </w:r>
    </w:p>
    <w:p>
      <w:pPr>
        <w:pStyle w:val="Compact"/>
        <w:numPr>
          <w:ilvl w:val="0"/>
          <w:numId w:val="1003"/>
        </w:numPr>
      </w:pPr>
      <w:r>
        <w:t xml:space="preserve">New leases improved to roughly</w:t>
      </w:r>
      <w:r>
        <w:t xml:space="preserve"> </w:t>
      </w:r>
      <w:r>
        <w:rPr>
          <w:b/>
          <w:bCs/>
        </w:rPr>
        <w:t xml:space="preserve">–0.9%</w:t>
      </w:r>
    </w:p>
    <w:p>
      <w:pPr>
        <w:pStyle w:val="Compact"/>
        <w:numPr>
          <w:ilvl w:val="0"/>
          <w:numId w:val="1003"/>
        </w:numPr>
      </w:pPr>
      <w:r>
        <w:t xml:space="preserve">Renewals reached approximately</w:t>
      </w:r>
      <w:r>
        <w:t xml:space="preserve"> </w:t>
      </w:r>
      <w:r>
        <w:rPr>
          <w:b/>
          <w:bCs/>
        </w:rPr>
        <w:t xml:space="preserve">5%</w:t>
      </w:r>
    </w:p>
    <w:p>
      <w:pPr>
        <w:pStyle w:val="Compact"/>
        <w:numPr>
          <w:ilvl w:val="0"/>
          <w:numId w:val="1003"/>
        </w:numPr>
      </w:pPr>
      <w:r>
        <w:t xml:space="preserve">Northern California blended growth exceeded</w:t>
      </w:r>
      <w:r>
        <w:t xml:space="preserve"> </w:t>
      </w:r>
      <w:r>
        <w:rPr>
          <w:b/>
          <w:bCs/>
        </w:rPr>
        <w:t xml:space="preserve">5%</w:t>
      </w:r>
    </w:p>
    <w:p>
      <w:pPr>
        <w:pStyle w:val="Compact"/>
        <w:numPr>
          <w:ilvl w:val="0"/>
          <w:numId w:val="1003"/>
        </w:numPr>
      </w:pPr>
      <w:r>
        <w:t xml:space="preserve">Seattle exceeded</w:t>
      </w:r>
      <w:r>
        <w:t xml:space="preserve"> </w:t>
      </w:r>
      <w:r>
        <w:rPr>
          <w:b/>
          <w:bCs/>
        </w:rPr>
        <w:t xml:space="preserve">2%</w:t>
      </w:r>
    </w:p>
    <w:p>
      <w:pPr>
        <w:pStyle w:val="Compact"/>
        <w:numPr>
          <w:ilvl w:val="0"/>
          <w:numId w:val="1003"/>
        </w:numPr>
      </w:pPr>
      <w:r>
        <w:t xml:space="preserve">Southern California was around</w:t>
      </w:r>
      <w:r>
        <w:t xml:space="preserve"> </w:t>
      </w:r>
      <w:r>
        <w:rPr>
          <w:b/>
          <w:bCs/>
        </w:rPr>
        <w:t xml:space="preserve">1.5%</w:t>
      </w:r>
    </w:p>
    <w:p>
      <w:pPr>
        <w:pStyle w:val="FirstParagraph"/>
      </w:pPr>
      <w:r>
        <w:t xml:space="preserve">Management indicated that lease-rate growth typically peaks around June or July. Investors should therefore focus at least as much on</w:t>
      </w:r>
      <w:r>
        <w:t xml:space="preserve"> </w:t>
      </w:r>
      <w:r>
        <w:rPr>
          <w:b/>
          <w:bCs/>
        </w:rPr>
        <w:t xml:space="preserve">July leasing commentary</w:t>
      </w:r>
      <w:r>
        <w:t xml:space="preserve"> </w:t>
      </w:r>
      <w:r>
        <w:t xml:space="preserve">as on the reported quarterly average.</w:t>
      </w:r>
    </w:p>
    <w:p>
      <w:pPr>
        <w:pStyle w:val="BodyText"/>
      </w:pPr>
      <w:r>
        <w:rPr>
          <w:b/>
          <w:bCs/>
        </w:rPr>
        <w:t xml:space="preserve">Constructive outcome:</w:t>
      </w:r>
      <w:r>
        <w:t xml:space="preserve"> </w:t>
      </w:r>
      <w:r>
        <w:t xml:space="preserve">Portfolio blended growth remains above 3%, new leases approach or exceed flat, and occupancy stays around 96% or better.</w:t>
      </w:r>
    </w:p>
    <w:p>
      <w:pPr>
        <w:pStyle w:val="BodyText"/>
      </w:pPr>
      <w:r>
        <w:rPr>
          <w:b/>
          <w:bCs/>
        </w:rPr>
        <w:t xml:space="preserve">Warning sign:</w:t>
      </w:r>
      <w:r>
        <w:t xml:space="preserve"> </w:t>
      </w:r>
      <w:r>
        <w:t xml:space="preserve">Blended growth fails to improve materially from April, particularly if that is caused by softer Bay Area demand rather than Los Angeles-specific weakness.</w:t>
      </w:r>
    </w:p>
    <w:bookmarkEnd w:id="11"/>
    <w:bookmarkStart w:id="12" w:name="X17a47c2756a3788e248b0a263b6492da75a137c"/>
    <w:p>
      <w:pPr>
        <w:pStyle w:val="Heading3"/>
      </w:pPr>
      <w:r>
        <w:t xml:space="preserve">2. Northern California must remain the growth engine</w:t>
      </w:r>
    </w:p>
    <w:p>
      <w:pPr>
        <w:pStyle w:val="FirstParagraph"/>
      </w:pPr>
      <w:r>
        <w:t xml:space="preserve">Northern California accounted for roughly</w:t>
      </w:r>
      <w:r>
        <w:t xml:space="preserve"> </w:t>
      </w:r>
      <w:r>
        <w:rPr>
          <w:b/>
          <w:bCs/>
        </w:rPr>
        <w:t xml:space="preserve">42% of portfolio NOI</w:t>
      </w:r>
      <w:r>
        <w:t xml:space="preserve"> </w:t>
      </w:r>
      <w:r>
        <w:t xml:space="preserve">at the end of Q1 and was Essex’s strongest region:</w:t>
      </w:r>
    </w:p>
    <w:p>
      <w:pPr>
        <w:pStyle w:val="Compact"/>
        <w:numPr>
          <w:ilvl w:val="0"/>
          <w:numId w:val="1004"/>
        </w:numPr>
      </w:pPr>
      <w:r>
        <w:t xml:space="preserve">Q1 same-property revenue growth:</w:t>
      </w:r>
      <w:r>
        <w:t xml:space="preserve"> </w:t>
      </w:r>
      <w:r>
        <w:rPr>
          <w:b/>
          <w:bCs/>
        </w:rPr>
        <w:t xml:space="preserve">3.9%</w:t>
      </w:r>
    </w:p>
    <w:p>
      <w:pPr>
        <w:pStyle w:val="Compact"/>
        <w:numPr>
          <w:ilvl w:val="0"/>
          <w:numId w:val="1004"/>
        </w:numPr>
      </w:pPr>
      <w:r>
        <w:t xml:space="preserve">Q1 same-property NOI growth:</w:t>
      </w:r>
      <w:r>
        <w:t xml:space="preserve"> </w:t>
      </w:r>
      <w:r>
        <w:rPr>
          <w:b/>
          <w:bCs/>
        </w:rPr>
        <w:t xml:space="preserve">5.6%</w:t>
      </w:r>
    </w:p>
    <w:p>
      <w:pPr>
        <w:pStyle w:val="Compact"/>
        <w:numPr>
          <w:ilvl w:val="0"/>
          <w:numId w:val="1004"/>
        </w:numPr>
      </w:pPr>
      <w:r>
        <w:t xml:space="preserve">Financial occupancy:</w:t>
      </w:r>
      <w:r>
        <w:t xml:space="preserve"> </w:t>
      </w:r>
      <w:r>
        <w:rPr>
          <w:b/>
          <w:bCs/>
        </w:rPr>
        <w:t xml:space="preserve">96.9%</w:t>
      </w:r>
    </w:p>
    <w:p>
      <w:pPr>
        <w:pStyle w:val="FirstParagraph"/>
      </w:pPr>
      <w:r>
        <w:t xml:space="preserve">Santa Clara, San Mateo and San Francisco led the portfolio. Management also highlighted several favorable demand indicators:</w:t>
      </w:r>
    </w:p>
    <w:p>
      <w:pPr>
        <w:pStyle w:val="Compact"/>
        <w:numPr>
          <w:ilvl w:val="0"/>
          <w:numId w:val="1005"/>
        </w:numPr>
      </w:pPr>
      <w:r>
        <w:t xml:space="preserve">Stable job openings among major technology employers</w:t>
      </w:r>
    </w:p>
    <w:p>
      <w:pPr>
        <w:pStyle w:val="Compact"/>
        <w:numPr>
          <w:ilvl w:val="0"/>
          <w:numId w:val="1005"/>
        </w:numPr>
      </w:pPr>
      <w:r>
        <w:t xml:space="preserve">Elevated Bay Area venture-capital investment</w:t>
      </w:r>
    </w:p>
    <w:p>
      <w:pPr>
        <w:pStyle w:val="Compact"/>
        <w:numPr>
          <w:ilvl w:val="0"/>
          <w:numId w:val="1005"/>
        </w:numPr>
      </w:pPr>
      <w:r>
        <w:t xml:space="preserve">AI-company expansion</w:t>
      </w:r>
    </w:p>
    <w:p>
      <w:pPr>
        <w:pStyle w:val="Compact"/>
        <w:numPr>
          <w:ilvl w:val="0"/>
          <w:numId w:val="1005"/>
        </w:numPr>
      </w:pPr>
      <w:r>
        <w:t xml:space="preserve">Office expansion announcements</w:t>
      </w:r>
    </w:p>
    <w:p>
      <w:pPr>
        <w:pStyle w:val="Compact"/>
        <w:numPr>
          <w:ilvl w:val="0"/>
          <w:numId w:val="1005"/>
        </w:numPr>
      </w:pPr>
      <w:r>
        <w:t xml:space="preserve">Rents representing only about</w:t>
      </w:r>
      <w:r>
        <w:t xml:space="preserve"> </w:t>
      </w:r>
      <w:r>
        <w:rPr>
          <w:b/>
          <w:bCs/>
        </w:rPr>
        <w:t xml:space="preserve">21.5% of median income</w:t>
      </w:r>
      <w:r>
        <w:t xml:space="preserve">, below the region’s long-term average</w:t>
      </w:r>
    </w:p>
    <w:p>
      <w:pPr>
        <w:pStyle w:val="FirstParagraph"/>
      </w:pPr>
      <w:r>
        <w:t xml:space="preserve">The supply picture is equally important. Essex forecasts Northern California residential supply of only about</w:t>
      </w:r>
      <w:r>
        <w:t xml:space="preserve"> </w:t>
      </w:r>
      <w:r>
        <w:rPr>
          <w:b/>
          <w:bCs/>
        </w:rPr>
        <w:t xml:space="preserve">0.3% of existing stock in 2026</w:t>
      </w:r>
      <w:r>
        <w:t xml:space="preserve">, including a sharp reduction in San Jose-area deliveries.</w:t>
      </w:r>
    </w:p>
    <w:p>
      <w:pPr>
        <w:pStyle w:val="BodyText"/>
      </w:pPr>
      <w:r>
        <w:t xml:space="preserve">The market will want evidence that technology-sector layoffs have not weakened renter demand. Continued strength in Santa Clara and San Mateo would reinforce the thesis that AI and technology investment are translating into actual housing demand.</w:t>
      </w:r>
    </w:p>
    <w:bookmarkEnd w:id="12"/>
    <w:bookmarkStart w:id="13" w:name="Xa6b8204843ffb20824bc259cf454fd43fcef075"/>
    <w:p>
      <w:pPr>
        <w:pStyle w:val="Heading3"/>
      </w:pPr>
      <w:r>
        <w:t xml:space="preserve">3. Seattle’s recovery</w:t>
      </w:r>
    </w:p>
    <w:p>
      <w:pPr>
        <w:pStyle w:val="FirstParagraph"/>
      </w:pPr>
      <w:r>
        <w:t xml:space="preserve">Seattle began the year softly, with Q1 blended lease growth of approximately</w:t>
      </w:r>
      <w:r>
        <w:t xml:space="preserve"> </w:t>
      </w:r>
      <w:r>
        <w:rPr>
          <w:b/>
          <w:bCs/>
        </w:rPr>
        <w:t xml:space="preserve">–0.8%</w:t>
      </w:r>
      <w:r>
        <w:t xml:space="preserve">, but management said new-lease growth turned positive in March and continued improving in April.</w:t>
      </w:r>
    </w:p>
    <w:p>
      <w:pPr>
        <w:pStyle w:val="BodyText"/>
      </w:pPr>
      <w:r>
        <w:t xml:space="preserve">The region should also benefit from a material reduction in supply: Essex’s forecast called for total Seattle residential supply to fall from roughly</w:t>
      </w:r>
      <w:r>
        <w:t xml:space="preserve"> </w:t>
      </w:r>
      <w:r>
        <w:rPr>
          <w:b/>
          <w:bCs/>
        </w:rPr>
        <w:t xml:space="preserve">1.0% of stock in 2025 to 0.7% in 2026</w:t>
      </w:r>
      <w:r>
        <w:t xml:space="preserve">.</w:t>
      </w:r>
    </w:p>
    <w:p>
      <w:pPr>
        <w:pStyle w:val="BodyText"/>
      </w:pPr>
      <w:r>
        <w:t xml:space="preserve">Investors should watch:</w:t>
      </w:r>
    </w:p>
    <w:p>
      <w:pPr>
        <w:pStyle w:val="Compact"/>
        <w:numPr>
          <w:ilvl w:val="0"/>
          <w:numId w:val="1006"/>
        </w:numPr>
      </w:pPr>
      <w:r>
        <w:t xml:space="preserve">New-lease growth</w:t>
      </w:r>
    </w:p>
    <w:p>
      <w:pPr>
        <w:pStyle w:val="Compact"/>
        <w:numPr>
          <w:ilvl w:val="0"/>
          <w:numId w:val="1006"/>
        </w:numPr>
      </w:pPr>
      <w:r>
        <w:t xml:space="preserve">Concession usage</w:t>
      </w:r>
    </w:p>
    <w:p>
      <w:pPr>
        <w:pStyle w:val="Compact"/>
        <w:numPr>
          <w:ilvl w:val="0"/>
          <w:numId w:val="1006"/>
        </w:numPr>
      </w:pPr>
      <w:r>
        <w:t xml:space="preserve">Occupancy</w:t>
      </w:r>
    </w:p>
    <w:p>
      <w:pPr>
        <w:pStyle w:val="Compact"/>
        <w:numPr>
          <w:ilvl w:val="0"/>
          <w:numId w:val="1006"/>
        </w:numPr>
      </w:pPr>
      <w:r>
        <w:t xml:space="preserve">Downtown versus Eastside performance</w:t>
      </w:r>
    </w:p>
    <w:p>
      <w:pPr>
        <w:pStyle w:val="Compact"/>
        <w:numPr>
          <w:ilvl w:val="0"/>
          <w:numId w:val="1006"/>
        </w:numPr>
      </w:pPr>
      <w:r>
        <w:t xml:space="preserve">Commentary on office expansions and technology hiring</w:t>
      </w:r>
    </w:p>
    <w:p>
      <w:pPr>
        <w:pStyle w:val="FirstParagraph"/>
      </w:pPr>
      <w:r>
        <w:t xml:space="preserve">A sustained positive blended rate would support the view that Q1 represented the bottom. Renewed weakness would suggest supply absorption or employment demand is taking longer than expected.</w:t>
      </w:r>
    </w:p>
    <w:bookmarkEnd w:id="13"/>
    <w:bookmarkStart w:id="14" w:name="X2ce021fcbd980ea82408469458aac2befae1e58"/>
    <w:p>
      <w:pPr>
        <w:pStyle w:val="Heading3"/>
      </w:pPr>
      <w:r>
        <w:t xml:space="preserve">4. Los Angeles: stabilization versus genuine recovery</w:t>
      </w:r>
    </w:p>
    <w:p>
      <w:pPr>
        <w:pStyle w:val="FirstParagraph"/>
      </w:pPr>
      <w:r>
        <w:t xml:space="preserve">Los Angeles remains the most difficult part of the portfolio. Management described the recovery as progressing at a “glacial” pace and said excluding Los Angeles would have improved April portfolio new-lease growth by approximately 180 basis points.</w:t>
      </w:r>
    </w:p>
    <w:p>
      <w:pPr>
        <w:pStyle w:val="BodyText"/>
      </w:pPr>
      <w:r>
        <w:t xml:space="preserve">The key operating threshold is</w:t>
      </w:r>
      <w:r>
        <w:t xml:space="preserve"> </w:t>
      </w:r>
      <w:r>
        <w:rPr>
          <w:b/>
          <w:bCs/>
        </w:rPr>
        <w:t xml:space="preserve">economic occupancy of roughly 95%</w:t>
      </w:r>
      <w:r>
        <w:t xml:space="preserve">. Management believes pricing power should improve once Los Angeles reaches that level. Eviction-processing times had improved to approximately four months from six months or longer, but remained above the historical norm of closer to three months.</w:t>
      </w:r>
    </w:p>
    <w:p>
      <w:pPr>
        <w:pStyle w:val="BodyText"/>
      </w:pPr>
      <w:r>
        <w:t xml:space="preserve">Investors should distinguish between:</w:t>
      </w:r>
    </w:p>
    <w:p>
      <w:pPr>
        <w:pStyle w:val="Compact"/>
        <w:numPr>
          <w:ilvl w:val="0"/>
          <w:numId w:val="1007"/>
        </w:numPr>
      </w:pPr>
      <w:r>
        <w:t xml:space="preserve">Higher physical or financial occupancy;</w:t>
      </w:r>
    </w:p>
    <w:p>
      <w:pPr>
        <w:pStyle w:val="Compact"/>
        <w:numPr>
          <w:ilvl w:val="0"/>
          <w:numId w:val="1007"/>
        </w:numPr>
      </w:pPr>
      <w:r>
        <w:t xml:space="preserve">Lower delinquency;</w:t>
      </w:r>
    </w:p>
    <w:p>
      <w:pPr>
        <w:pStyle w:val="Compact"/>
        <w:numPr>
          <w:ilvl w:val="0"/>
          <w:numId w:val="1007"/>
        </w:numPr>
      </w:pPr>
      <w:r>
        <w:t xml:space="preserve">Lower concessions; and</w:t>
      </w:r>
    </w:p>
    <w:p>
      <w:pPr>
        <w:pStyle w:val="Compact"/>
        <w:numPr>
          <w:ilvl w:val="0"/>
          <w:numId w:val="1007"/>
        </w:numPr>
      </w:pPr>
      <w:r>
        <w:t xml:space="preserve">Actual improvement in new-lease pricing.</w:t>
      </w:r>
    </w:p>
    <w:p>
      <w:pPr>
        <w:pStyle w:val="FirstParagraph"/>
      </w:pPr>
      <w:r>
        <w:t xml:space="preserve">Occupancy stabilization without better pricing would be incremental progress, not yet a full recovery.</w:t>
      </w:r>
    </w:p>
    <w:bookmarkEnd w:id="14"/>
    <w:bookmarkStart w:id="15" w:name="Xb1a450462ab9e3b44d6fcc1dd6e91cf0b73550d"/>
    <w:p>
      <w:pPr>
        <w:pStyle w:val="Heading3"/>
      </w:pPr>
      <w:r>
        <w:t xml:space="preserve">5. Expense catch-up could obscure otherwise healthy results</w:t>
      </w:r>
    </w:p>
    <w:p>
      <w:pPr>
        <w:pStyle w:val="FirstParagraph"/>
      </w:pPr>
      <w:r>
        <w:t xml:space="preserve">Q1 same-property operating expenses increased only</w:t>
      </w:r>
      <w:r>
        <w:t xml:space="preserve"> </w:t>
      </w:r>
      <w:r>
        <w:rPr>
          <w:b/>
          <w:bCs/>
        </w:rPr>
        <w:t xml:space="preserve">0.2%</w:t>
      </w:r>
      <w:r>
        <w:t xml:space="preserve">, materially better than expected. But management was explicit that some of this was timing: several projects were delayed into Q2 and Q3.</w:t>
      </w:r>
    </w:p>
    <w:p>
      <w:pPr>
        <w:pStyle w:val="BodyText"/>
      </w:pPr>
      <w:r>
        <w:t xml:space="preserve">Full-year expense guidance remained</w:t>
      </w:r>
      <w:r>
        <w:t xml:space="preserve"> </w:t>
      </w:r>
      <w:r>
        <w:rPr>
          <w:b/>
          <w:bCs/>
        </w:rPr>
        <w:t xml:space="preserve">2.5%–3.5%</w:t>
      </w:r>
      <w:r>
        <w:t xml:space="preserve">, with a 3% midpoint. Utilities were already the main pressure point in Q1, increasing</w:t>
      </w:r>
      <w:r>
        <w:t xml:space="preserve"> </w:t>
      </w:r>
      <w:r>
        <w:rPr>
          <w:b/>
          <w:bCs/>
        </w:rPr>
        <w:t xml:space="preserve">7.7%</w:t>
      </w:r>
      <w:r>
        <w:t xml:space="preserve">, while favorable property taxes and delayed controllable spending offset that inflation.</w:t>
      </w:r>
    </w:p>
    <w:p>
      <w:pPr>
        <w:pStyle w:val="BodyText"/>
      </w:pPr>
      <w:r>
        <w:t xml:space="preserve">Investors should not automatically treat a Q2 expense spike as a fundamental miss. The more important questions are:</w:t>
      </w:r>
    </w:p>
    <w:p>
      <w:pPr>
        <w:pStyle w:val="Compact"/>
        <w:numPr>
          <w:ilvl w:val="0"/>
          <w:numId w:val="1008"/>
        </w:numPr>
      </w:pPr>
      <w:r>
        <w:t xml:space="preserve">Is the increase simply the anticipated reversal of Q1 timing benefits?</w:t>
      </w:r>
    </w:p>
    <w:p>
      <w:pPr>
        <w:pStyle w:val="Compact"/>
        <w:numPr>
          <w:ilvl w:val="0"/>
          <w:numId w:val="1008"/>
        </w:numPr>
      </w:pPr>
      <w:r>
        <w:t xml:space="preserve">Is full-year expense guidance unchanged?</w:t>
      </w:r>
    </w:p>
    <w:p>
      <w:pPr>
        <w:pStyle w:val="Compact"/>
        <w:numPr>
          <w:ilvl w:val="0"/>
          <w:numId w:val="1008"/>
        </w:numPr>
      </w:pPr>
      <w:r>
        <w:t xml:space="preserve">Can stronger revenue growth still produce NOI toward the upper half of guidance?</w:t>
      </w:r>
    </w:p>
    <w:p>
      <w:pPr>
        <w:pStyle w:val="FirstParagraph"/>
      </w:pPr>
      <w:r>
        <w:t xml:space="preserve">An unfavorable combination would be expense catch-up</w:t>
      </w:r>
      <w:r>
        <w:t xml:space="preserve"> </w:t>
      </w:r>
      <w:r>
        <w:rPr>
          <w:b/>
          <w:bCs/>
        </w:rPr>
        <w:t xml:space="preserve">plus</w:t>
      </w:r>
      <w:r>
        <w:t xml:space="preserve"> </w:t>
      </w:r>
      <w:r>
        <w:t xml:space="preserve">weakening revenue, which would compress the outlook for same-property NOI.</w:t>
      </w:r>
    </w:p>
    <w:bookmarkEnd w:id="15"/>
    <w:bookmarkEnd w:id="16"/>
    <w:bookmarkStart w:id="17" w:name="guidance-is-a-raise-coming"/>
    <w:p>
      <w:pPr>
        <w:pStyle w:val="Heading2"/>
      </w:pPr>
      <w:r>
        <w:t xml:space="preserve">Guidance: is a raise coming?</w:t>
      </w:r>
    </w:p>
    <w:p>
      <w:pPr>
        <w:pStyle w:val="FirstParagraph"/>
      </w:pPr>
      <w:r>
        <w:t xml:space="preserve">Q1 Core FFO of</w:t>
      </w:r>
      <w:r>
        <w:t xml:space="preserve"> </w:t>
      </w:r>
      <w:r>
        <w:rPr>
          <w:b/>
          <w:bCs/>
        </w:rPr>
        <w:t xml:space="preserve">$4.06</w:t>
      </w:r>
      <w:r>
        <w:t xml:space="preserve"> </w:t>
      </w:r>
      <w:r>
        <w:t xml:space="preserve">exceeded guidance midpoint by $0.11, but Essex did not raise its full-year Core FFO outlook. Management wanted more visibility into peak leasing season and the broader economic environment.</w:t>
      </w:r>
    </w:p>
    <w:p>
      <w:pPr>
        <w:pStyle w:val="BodyText"/>
      </w:pPr>
      <w:r>
        <w:t xml:space="preserve">That makes Q2 the logical decision point.</w:t>
      </w:r>
    </w:p>
    <w:p>
      <w:pPr>
        <w:pStyle w:val="BodyText"/>
      </w:pPr>
      <w:r>
        <w:t xml:space="preserve">A guidance increase is most plausible if:</w:t>
      </w:r>
    </w:p>
    <w:p>
      <w:pPr>
        <w:pStyle w:val="Compact"/>
        <w:numPr>
          <w:ilvl w:val="0"/>
          <w:numId w:val="1009"/>
        </w:numPr>
      </w:pPr>
      <w:r>
        <w:t xml:space="preserve">Q2 Core FFO exceeds the</w:t>
      </w:r>
      <w:r>
        <w:t xml:space="preserve"> </w:t>
      </w:r>
      <w:r>
        <w:rPr>
          <w:b/>
          <w:bCs/>
        </w:rPr>
        <w:t xml:space="preserve">$4.04 high end</w:t>
      </w:r>
    </w:p>
    <w:p>
      <w:pPr>
        <w:pStyle w:val="Compact"/>
        <w:numPr>
          <w:ilvl w:val="0"/>
          <w:numId w:val="1009"/>
        </w:numPr>
      </w:pPr>
      <w:r>
        <w:t xml:space="preserve">Peak-season blended rents remain above plan</w:t>
      </w:r>
    </w:p>
    <w:p>
      <w:pPr>
        <w:pStyle w:val="Compact"/>
        <w:numPr>
          <w:ilvl w:val="0"/>
          <w:numId w:val="1009"/>
        </w:numPr>
      </w:pPr>
      <w:r>
        <w:t xml:space="preserve">Northern California continues to outperform</w:t>
      </w:r>
    </w:p>
    <w:p>
      <w:pPr>
        <w:pStyle w:val="Compact"/>
        <w:numPr>
          <w:ilvl w:val="0"/>
          <w:numId w:val="1009"/>
        </w:numPr>
      </w:pPr>
      <w:r>
        <w:t xml:space="preserve">Seattle’s improvement persists</w:t>
      </w:r>
    </w:p>
    <w:p>
      <w:pPr>
        <w:pStyle w:val="Compact"/>
        <w:numPr>
          <w:ilvl w:val="0"/>
          <w:numId w:val="1009"/>
        </w:numPr>
      </w:pPr>
      <w:r>
        <w:t xml:space="preserve">Full-year same-property expenses remain manageable</w:t>
      </w:r>
    </w:p>
    <w:p>
      <w:pPr>
        <w:pStyle w:val="Compact"/>
        <w:numPr>
          <w:ilvl w:val="0"/>
          <w:numId w:val="1009"/>
        </w:numPr>
      </w:pPr>
      <w:r>
        <w:t xml:space="preserve">No new structured-finance headwinds emerge</w:t>
      </w:r>
    </w:p>
    <w:p>
      <w:pPr>
        <w:pStyle w:val="FirstParagraph"/>
      </w:pPr>
      <w:r>
        <w:t xml:space="preserve">Even without a Core FFO raise, an increase to same-property revenue or NOI guidance would be constructive. Conversely, an in-line quarter accompanied by unchanged guidance could be viewed as underwhelming after the stock’s rally.</w:t>
      </w:r>
    </w:p>
    <w:bookmarkEnd w:id="17"/>
    <w:bookmarkStart w:id="18" w:name="structured-finance-earnings-headwind"/>
    <w:p>
      <w:pPr>
        <w:pStyle w:val="Heading2"/>
      </w:pPr>
      <w:r>
        <w:t xml:space="preserve">Structured-finance earnings headwind</w:t>
      </w:r>
    </w:p>
    <w:p>
      <w:pPr>
        <w:pStyle w:val="FirstParagraph"/>
      </w:pPr>
      <w:r>
        <w:t xml:space="preserve">Essex expected approximately</w:t>
      </w:r>
      <w:r>
        <w:t xml:space="preserve"> </w:t>
      </w:r>
      <m:oMath>
        <m:r>
          <m:t>90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e</m:t>
        </m:r>
        <m:r>
          <m:t>a</m:t>
        </m:r>
        <m:r>
          <m:t>r</m:t>
        </m:r>
        <m:r>
          <m:t>l</m:t>
        </m:r>
        <m:r>
          <m:t>y</m:t>
        </m:r>
        <m:r>
          <m:t>s</m:t>
        </m:r>
        <m:r>
          <m:t>t</m:t>
        </m:r>
        <m:r>
          <m:t>r</m:t>
        </m:r>
        <m:r>
          <m:t>u</m:t>
        </m:r>
        <m:r>
          <m:t>c</m:t>
        </m:r>
        <m:r>
          <m:t>t</m:t>
        </m:r>
        <m:r>
          <m:t>u</m:t>
        </m:r>
        <m:r>
          <m:t>r</m:t>
        </m:r>
        <m:r>
          <m:t>e</m:t>
        </m:r>
        <m:r>
          <m:t>d</m:t>
        </m:r>
        <m:r>
          <m:rPr>
            <m:sty m:val="p"/>
          </m:rPr>
          <m:t>−</m:t>
        </m:r>
        <m:r>
          <m:t>f</m:t>
        </m:r>
        <m:r>
          <m:t>i</m:t>
        </m:r>
        <m:r>
          <m:t>n</m:t>
        </m:r>
        <m:r>
          <m:t>a</m:t>
        </m:r>
        <m:r>
          <m:t>n</m:t>
        </m:r>
        <m:r>
          <m:t>c</m:t>
        </m:r>
        <m:r>
          <m:t>e</m:t>
        </m:r>
        <m:r>
          <m:t>r</m:t>
        </m:r>
        <m:r>
          <m:t>e</m:t>
        </m:r>
        <m:r>
          <m:t>d</m:t>
        </m:r>
        <m:r>
          <m:t>e</m:t>
        </m:r>
        <m:r>
          <m:t>m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s</m:t>
        </m:r>
        <m:r>
          <m:t>d</m:t>
        </m:r>
        <m:r>
          <m:t>u</m:t>
        </m:r>
        <m:r>
          <m:t>r</m:t>
        </m:r>
        <m:r>
          <m:t>i</m:t>
        </m:r>
        <m:r>
          <m:t>n</m:t>
        </m:r>
        <m:r>
          <m:t>g</m:t>
        </m:r>
        <m:r>
          <m:t>Q</m:t>
        </m:r>
        <m:r>
          <m:t>2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T</m:t>
        </m:r>
        <m:r>
          <m:t>h</m:t>
        </m:r>
        <m:r>
          <m:t>o</m:t>
        </m:r>
        <m:r>
          <m:t>s</m:t>
        </m:r>
        <m:r>
          <m:t>e</m:t>
        </m:r>
        <m:r>
          <m:t>i</m:t>
        </m:r>
        <m:r>
          <m:t>n</m:t>
        </m:r>
        <m:r>
          <m:t>v</m:t>
        </m:r>
        <m:r>
          <m:t>e</m:t>
        </m:r>
        <m:r>
          <m:t>s</m:t>
        </m:r>
        <m:r>
          <m:t>t</m:t>
        </m:r>
        <m:r>
          <m:t>m</m:t>
        </m:r>
        <m:r>
          <m:t>e</m:t>
        </m:r>
        <m:r>
          <m:t>n</m:t>
        </m:r>
        <m:r>
          <m:t>t</m:t>
        </m:r>
        <m:r>
          <m:t>s</m:t>
        </m:r>
        <m:r>
          <m:t>h</m:t>
        </m:r>
        <m:r>
          <m:t>a</m:t>
        </m:r>
        <m:r>
          <m:t>d</m:t>
        </m:r>
        <m:r>
          <m:t>o</m:t>
        </m:r>
        <m:r>
          <m:t>r</m:t>
        </m:r>
        <m:r>
          <m:t>i</m:t>
        </m:r>
        <m:r>
          <m:t>g</m:t>
        </m:r>
        <m:r>
          <m:t>i</m:t>
        </m:r>
        <m:r>
          <m:t>n</m:t>
        </m:r>
        <m:r>
          <m:t>a</m:t>
        </m:r>
        <m:r>
          <m:t>l</m:t>
        </m:r>
        <m:r>
          <m:t>l</m:t>
        </m:r>
        <m:r>
          <m:t>y</m:t>
        </m:r>
        <m:r>
          <m:t>b</m:t>
        </m:r>
        <m:r>
          <m:t>e</m:t>
        </m:r>
        <m:r>
          <m:t>e</m:t>
        </m:r>
        <m:r>
          <m:t>n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e</m:t>
        </m:r>
        <m:r>
          <m:t>d</m:t>
        </m:r>
        <m:r>
          <m:t>t</m:t>
        </m:r>
        <m:r>
          <m:t>o</m:t>
        </m:r>
        <m:r>
          <m:t>m</m:t>
        </m:r>
        <m:r>
          <m:t>a</m:t>
        </m:r>
        <m:r>
          <m:t>t</m:t>
        </m:r>
        <m:r>
          <m:t>u</m:t>
        </m:r>
        <m:r>
          <m:t>r</m:t>
        </m:r>
        <m:r>
          <m:t>e</m:t>
        </m:r>
        <m:r>
          <m:t>i</m:t>
        </m:r>
        <m:r>
          <m:t>n</m:t>
        </m:r>
        <m:r>
          <m:t>2027</m:t>
        </m:r>
        <m:r>
          <m:t>a</m:t>
        </m:r>
        <m:r>
          <m:t>n</m:t>
        </m:r>
        <m:r>
          <m:t>d</m:t>
        </m:r>
        <m:r>
          <m:t>2028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t</m:t>
        </m:r>
        <m:r>
          <m:t>h</m:t>
        </m:r>
        <m:r>
          <m:t>e</m:t>
        </m:r>
        <m:r>
          <m:t>i</m:t>
        </m:r>
        <m:r>
          <m:t>r</m:t>
        </m:r>
        <m:r>
          <m:t>e</m:t>
        </m:r>
        <m:r>
          <m:t>a</m:t>
        </m:r>
        <m:r>
          <m:t>r</m:t>
        </m:r>
        <m:r>
          <m:t>l</m:t>
        </m:r>
        <m:r>
          <m:t>y</m:t>
        </m:r>
        <m:r>
          <m:t>r</m:t>
        </m:r>
        <m:r>
          <m:t>e</m:t>
        </m:r>
        <m:r>
          <m:t>p</m:t>
        </m:r>
        <m:r>
          <m:t>a</m:t>
        </m:r>
        <m:r>
          <m:t>y</m:t>
        </m:r>
        <m:r>
          <m:t>m</m:t>
        </m:r>
        <m:r>
          <m:t>e</m:t>
        </m:r>
        <m:r>
          <m:t>n</m:t>
        </m:r>
        <m:r>
          <m:t>t</m:t>
        </m:r>
        <m:r>
          <m:t>c</m:t>
        </m:r>
        <m:r>
          <m:t>r</m:t>
        </m:r>
        <m:r>
          <m:t>e</m:t>
        </m:r>
        <m:r>
          <m:t>a</m:t>
        </m:r>
        <m:r>
          <m:t>t</m:t>
        </m:r>
        <m:r>
          <m:t>e</m:t>
        </m:r>
        <m:r>
          <m:t>s</m:t>
        </m:r>
        <m:r>
          <m:t>a</m:t>
        </m:r>
        <m:r>
          <m:t>n</m:t>
        </m:r>
        <m:r>
          <m:t>e</m:t>
        </m:r>
        <m:r>
          <m:t>s</m:t>
        </m:r>
        <m:r>
          <m:t>t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0.07 per-share headwind to second-half 2026 Core FFO</w:t>
      </w:r>
      <w:r>
        <w:t xml:space="preserve">.</w:t>
      </w:r>
    </w:p>
    <w:p>
      <w:pPr>
        <w:pStyle w:val="BodyText"/>
      </w:pPr>
      <w:r>
        <w:t xml:space="preserve">The redemptions are not necessarily a credit problem—they demonstrate successful repayment—but they reduce high-yielding investment income.</w:t>
      </w:r>
    </w:p>
    <w:p>
      <w:pPr>
        <w:pStyle w:val="BodyText"/>
      </w:pPr>
      <w:r>
        <w:t xml:space="preserve">Key questions include:</w:t>
      </w:r>
    </w:p>
    <w:p>
      <w:pPr>
        <w:pStyle w:val="Compact"/>
        <w:numPr>
          <w:ilvl w:val="0"/>
          <w:numId w:val="1010"/>
        </w:numPr>
      </w:pPr>
      <w:r>
        <w:t xml:space="preserve">Did the $90 million repay on schedule?</w:t>
      </w:r>
    </w:p>
    <w:p>
      <w:pPr>
        <w:pStyle w:val="Compact"/>
        <w:numPr>
          <w:ilvl w:val="0"/>
          <w:numId w:val="1010"/>
        </w:numPr>
      </w:pPr>
      <w:r>
        <w:t xml:space="preserve">Can Essex redeploy the proceeds at attractive returns?</w:t>
      </w:r>
    </w:p>
    <w:p>
      <w:pPr>
        <w:pStyle w:val="Compact"/>
        <w:numPr>
          <w:ilvl w:val="0"/>
          <w:numId w:val="1010"/>
        </w:numPr>
      </w:pPr>
      <w:r>
        <w:t xml:space="preserve">Have preferred-equity yields and covenants become less attractive?</w:t>
      </w:r>
    </w:p>
    <w:p>
      <w:pPr>
        <w:pStyle w:val="Compact"/>
        <w:numPr>
          <w:ilvl w:val="0"/>
          <w:numId w:val="1010"/>
        </w:numPr>
      </w:pPr>
      <w:r>
        <w:t xml:space="preserve">Is there any update on the two investments for which management had reduced or stopped income accrual?</w:t>
      </w:r>
    </w:p>
    <w:p>
      <w:pPr>
        <w:pStyle w:val="Compact"/>
        <w:numPr>
          <w:ilvl w:val="0"/>
          <w:numId w:val="1010"/>
        </w:numPr>
      </w:pPr>
      <w:r>
        <w:t xml:space="preserve">Is any recovery-related upside still expected in 2027?</w:t>
      </w:r>
    </w:p>
    <w:p>
      <w:pPr>
        <w:pStyle w:val="FirstParagraph"/>
      </w:pPr>
      <w:r>
        <w:t xml:space="preserve">Management has indicated that 2026 should be the final year of significant earnings volatility from the legacy preferred-equity portfolio. Confirmation would improve the quality and predictability of future FFO.</w:t>
      </w:r>
    </w:p>
    <w:bookmarkEnd w:id="18"/>
    <w:bookmarkStart w:id="19" w:name="capital-allocation-and-balance-sheet"/>
    <w:p>
      <w:pPr>
        <w:pStyle w:val="Heading2"/>
      </w:pPr>
      <w:r>
        <w:t xml:space="preserve">Capital allocation and balance sheet</w:t>
      </w:r>
    </w:p>
    <w:p>
      <w:pPr>
        <w:pStyle w:val="FirstParagraph"/>
      </w:pPr>
      <w:r>
        <w:t xml:space="preserve">Essex ended Q1 with:</w:t>
      </w:r>
    </w:p>
    <w:p>
      <w:pPr>
        <w:pStyle w:val="Compact"/>
        <w:numPr>
          <w:ilvl w:val="0"/>
          <w:numId w:val="1011"/>
        </w:numPr>
      </w:pPr>
      <w:r>
        <w:t xml:space="preserve">More than</w:t>
      </w:r>
      <w:r>
        <w:t xml:space="preserve"> </w:t>
      </w:r>
      <w:r>
        <w:rPr>
          <w:b/>
          <w:bCs/>
        </w:rPr>
        <w:t xml:space="preserve">$1.7 billion of liquidity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5.5x</w:t>
      </w:r>
      <w:r>
        <w:t xml:space="preserve"> </w:t>
      </w:r>
      <w:r>
        <w:t xml:space="preserve">net debt to adjusted EBITDAre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93%</w:t>
      </w:r>
      <w:r>
        <w:t xml:space="preserve"> </w:t>
      </w:r>
      <w:r>
        <w:t xml:space="preserve">unencumbered NOI</w:t>
      </w:r>
    </w:p>
    <w:p>
      <w:pPr>
        <w:pStyle w:val="Compact"/>
        <w:numPr>
          <w:ilvl w:val="0"/>
          <w:numId w:val="1011"/>
        </w:numPr>
      </w:pPr>
      <w:r>
        <w:t xml:space="preserve">Investment-grade ratings of</w:t>
      </w:r>
      <w:r>
        <w:t xml:space="preserve"> </w:t>
      </w:r>
      <w:r>
        <w:rPr>
          <w:b/>
          <w:bCs/>
        </w:rPr>
        <w:t xml:space="preserve">Baa1/BBB+</w:t>
      </w:r>
      <w:r>
        <w:t xml:space="preserve">, both stable</w:t>
      </w:r>
    </w:p>
    <w:p>
      <w:pPr>
        <w:pStyle w:val="Compact"/>
        <w:numPr>
          <w:ilvl w:val="0"/>
          <w:numId w:val="1011"/>
        </w:numPr>
      </w:pPr>
      <w:r>
        <w:t xml:space="preserve">A weighted-average debt maturity of approximately</w:t>
      </w:r>
      <w:r>
        <w:t xml:space="preserve"> </w:t>
      </w:r>
      <w:r>
        <w:rPr>
          <w:b/>
          <w:bCs/>
        </w:rPr>
        <w:t xml:space="preserve">6.7 years</w:t>
      </w:r>
    </w:p>
    <w:p>
      <w:pPr>
        <w:pStyle w:val="Compact"/>
        <w:numPr>
          <w:ilvl w:val="0"/>
          <w:numId w:val="1011"/>
        </w:numPr>
      </w:pPr>
      <w:r>
        <w:t xml:space="preserve">A weighted-average interest rate of approximately</w:t>
      </w:r>
      <w:r>
        <w:t xml:space="preserve"> </w:t>
      </w:r>
      <w:r>
        <w:rPr>
          <w:b/>
          <w:bCs/>
        </w:rPr>
        <w:t xml:space="preserve">3.7%</w:t>
      </w:r>
    </w:p>
    <w:p>
      <w:pPr>
        <w:pStyle w:val="FirstParagraph"/>
      </w:pPr>
      <w:r>
        <w:t xml:space="preserve">The balance sheet is not a major near-term concern.</w:t>
      </w:r>
    </w:p>
    <w:p>
      <w:pPr>
        <w:pStyle w:val="BodyText"/>
      </w:pPr>
      <w:r>
        <w:t xml:space="preserve">In Q1 and shortly thereafter, Essex repurchased approximately</w:t>
      </w:r>
      <w:r>
        <w:t xml:space="preserve"> </w:t>
      </w:r>
      <m:oMath>
        <m:r>
          <m:t>61.9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a</m:t>
        </m:r>
        <m:r>
          <m:t>t</m:t>
        </m:r>
        <m:r>
          <m:t>a</m:t>
        </m:r>
        <m:r>
          <m:t>n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243.76</w:t>
      </w:r>
      <w:r>
        <w:t xml:space="preserve">. That was attractive relative to the July 28 price of $294.56, but the case for additional buybacks is now less obvious.</w:t>
      </w:r>
    </w:p>
    <w:p>
      <w:pPr>
        <w:pStyle w:val="BodyText"/>
      </w:pPr>
      <w:r>
        <w:t xml:space="preserve">Expect management to compare four potential uses of capital:</w:t>
      </w:r>
    </w:p>
    <w:p>
      <w:pPr>
        <w:pStyle w:val="Compact"/>
        <w:numPr>
          <w:ilvl w:val="0"/>
          <w:numId w:val="1012"/>
        </w:numPr>
      </w:pPr>
      <w:r>
        <w:t xml:space="preserve">Share repurchases</w:t>
      </w:r>
    </w:p>
    <w:p>
      <w:pPr>
        <w:pStyle w:val="Compact"/>
        <w:numPr>
          <w:ilvl w:val="0"/>
          <w:numId w:val="1012"/>
        </w:numPr>
      </w:pPr>
      <w:r>
        <w:t xml:space="preserve">Apartment acquisitions</w:t>
      </w:r>
    </w:p>
    <w:p>
      <w:pPr>
        <w:pStyle w:val="Compact"/>
        <w:numPr>
          <w:ilvl w:val="0"/>
          <w:numId w:val="1012"/>
        </w:numPr>
      </w:pPr>
      <w:r>
        <w:t xml:space="preserve">Dispositions and portfolio recycling</w:t>
      </w:r>
    </w:p>
    <w:p>
      <w:pPr>
        <w:pStyle w:val="Compact"/>
        <w:numPr>
          <w:ilvl w:val="0"/>
          <w:numId w:val="1012"/>
        </w:numPr>
      </w:pPr>
      <w:r>
        <w:t xml:space="preserve">Development, redevelopment and accessory dwelling units</w:t>
      </w:r>
    </w:p>
    <w:p>
      <w:pPr>
        <w:pStyle w:val="FirstParagraph"/>
      </w:pPr>
      <w:r>
        <w:t xml:space="preserve">Management previously cited roughly</w:t>
      </w:r>
      <w:r>
        <w:t xml:space="preserve"> </w:t>
      </w:r>
      <w:r>
        <w:rPr>
          <w:b/>
          <w:bCs/>
        </w:rPr>
        <w:t xml:space="preserve">10% returns on cost</w:t>
      </w:r>
      <w:r>
        <w:t xml:space="preserve"> </w:t>
      </w:r>
      <w:r>
        <w:t xml:space="preserve">for some ADU investments. With private-market apartment cap rates reportedly in the mid-4% area, internal redevelopment may remain one of the more compelling risk-adjusted options.</w:t>
      </w:r>
    </w:p>
    <w:bookmarkEnd w:id="19"/>
    <w:bookmarkStart w:id="23" w:name="scenario-framework"/>
    <w:p>
      <w:pPr>
        <w:pStyle w:val="Heading2"/>
      </w:pPr>
      <w:r>
        <w:t xml:space="preserve">Scenario framework</w:t>
      </w:r>
    </w:p>
    <w:bookmarkStart w:id="20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3"/>
        </w:numPr>
      </w:pPr>
      <w:r>
        <w:t xml:space="preserve">Core FFO above</w:t>
      </w:r>
      <w:r>
        <w:t xml:space="preserve"> </w:t>
      </w:r>
      <w:r>
        <w:rPr>
          <w:b/>
          <w:bCs/>
        </w:rPr>
        <w:t xml:space="preserve">$4.04</w:t>
      </w:r>
    </w:p>
    <w:p>
      <w:pPr>
        <w:pStyle w:val="Compact"/>
        <w:numPr>
          <w:ilvl w:val="0"/>
          <w:numId w:val="1013"/>
        </w:numPr>
      </w:pPr>
      <w:r>
        <w:t xml:space="preserve">Full-year Core FFO and/or same-property NOI guidance raised</w:t>
      </w:r>
    </w:p>
    <w:p>
      <w:pPr>
        <w:pStyle w:val="Compact"/>
        <w:numPr>
          <w:ilvl w:val="0"/>
          <w:numId w:val="1013"/>
        </w:numPr>
      </w:pPr>
      <w:r>
        <w:t xml:space="preserve">Portfolio blended lease growth above 3%</w:t>
      </w:r>
    </w:p>
    <w:p>
      <w:pPr>
        <w:pStyle w:val="Compact"/>
        <w:numPr>
          <w:ilvl w:val="0"/>
          <w:numId w:val="1013"/>
        </w:numPr>
      </w:pPr>
      <w:r>
        <w:t xml:space="preserve">Northern California remains above 5%</w:t>
      </w:r>
    </w:p>
    <w:p>
      <w:pPr>
        <w:pStyle w:val="Compact"/>
        <w:numPr>
          <w:ilvl w:val="0"/>
          <w:numId w:val="1013"/>
        </w:numPr>
      </w:pPr>
      <w:r>
        <w:t xml:space="preserve">Seattle recovery broadens</w:t>
      </w:r>
    </w:p>
    <w:p>
      <w:pPr>
        <w:pStyle w:val="Compact"/>
        <w:numPr>
          <w:ilvl w:val="0"/>
          <w:numId w:val="1013"/>
        </w:numPr>
      </w:pPr>
      <w:r>
        <w:t xml:space="preserve">Los Angeles economic occupancy reaches or approaches 95%</w:t>
      </w:r>
    </w:p>
    <w:p>
      <w:pPr>
        <w:pStyle w:val="Compact"/>
        <w:numPr>
          <w:ilvl w:val="0"/>
          <w:numId w:val="1013"/>
        </w:numPr>
      </w:pPr>
      <w:r>
        <w:t xml:space="preserve">Expense catch-up is contained and clearly timing-related</w:t>
      </w:r>
    </w:p>
    <w:bookmarkEnd w:id="20"/>
    <w:bookmarkStart w:id="21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4"/>
        </w:numPr>
      </w:pPr>
      <w:r>
        <w:t xml:space="preserve">Core FFO near</w:t>
      </w:r>
      <w:r>
        <w:t xml:space="preserve"> </w:t>
      </w:r>
      <m:oMath>
        <m:r>
          <m:t>3.98</m:t>
        </m:r>
        <m:r>
          <m:rPr>
            <m:sty m:val="p"/>
          </m:rPr>
          <m:t>–</m:t>
        </m:r>
      </m:oMath>
      <w:r>
        <w:rPr>
          <w:b/>
          <w:bCs/>
        </w:rPr>
        <w:t xml:space="preserve">4.04</w:t>
      </w:r>
    </w:p>
    <w:p>
      <w:pPr>
        <w:pStyle w:val="Compact"/>
        <w:numPr>
          <w:ilvl w:val="0"/>
          <w:numId w:val="1014"/>
        </w:numPr>
      </w:pPr>
      <w:r>
        <w:t xml:space="preserve">Full-year Core FFO guidance maintained</w:t>
      </w:r>
    </w:p>
    <w:p>
      <w:pPr>
        <w:pStyle w:val="Compact"/>
        <w:numPr>
          <w:ilvl w:val="0"/>
          <w:numId w:val="1014"/>
        </w:numPr>
      </w:pPr>
      <w:r>
        <w:t xml:space="preserve">Same-property revenue trends toward the upper half of guidance</w:t>
      </w:r>
    </w:p>
    <w:p>
      <w:pPr>
        <w:pStyle w:val="Compact"/>
        <w:numPr>
          <w:ilvl w:val="0"/>
          <w:numId w:val="1014"/>
        </w:numPr>
      </w:pPr>
      <w:r>
        <w:t xml:space="preserve">Northern California remains strong, Seattle improves and Los Angeles remains slow</w:t>
      </w:r>
    </w:p>
    <w:p>
      <w:pPr>
        <w:pStyle w:val="Compact"/>
        <w:numPr>
          <w:ilvl w:val="0"/>
          <w:numId w:val="1014"/>
        </w:numPr>
      </w:pPr>
      <w:r>
        <w:t xml:space="preserve">Expenses accelerate as expected but do not threaten full-year NOI guidance</w:t>
      </w:r>
    </w:p>
    <w:bookmarkEnd w:id="21"/>
    <w:bookmarkStart w:id="22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5"/>
        </w:numPr>
      </w:pPr>
      <w:r>
        <w:t xml:space="preserve">Core FFO below</w:t>
      </w:r>
      <w:r>
        <w:t xml:space="preserve"> </w:t>
      </w:r>
      <w:r>
        <w:rPr>
          <w:b/>
          <w:bCs/>
        </w:rPr>
        <w:t xml:space="preserve">$3.92</w:t>
      </w:r>
    </w:p>
    <w:p>
      <w:pPr>
        <w:pStyle w:val="Compact"/>
        <w:numPr>
          <w:ilvl w:val="0"/>
          <w:numId w:val="1015"/>
        </w:numPr>
      </w:pPr>
      <w:r>
        <w:t xml:space="preserve">Peak-season lease growth disappoints</w:t>
      </w:r>
    </w:p>
    <w:p>
      <w:pPr>
        <w:pStyle w:val="Compact"/>
        <w:numPr>
          <w:ilvl w:val="0"/>
          <w:numId w:val="1015"/>
        </w:numPr>
      </w:pPr>
      <w:r>
        <w:t xml:space="preserve">Bay Area new-lease pricing softens</w:t>
      </w:r>
    </w:p>
    <w:p>
      <w:pPr>
        <w:pStyle w:val="Compact"/>
        <w:numPr>
          <w:ilvl w:val="0"/>
          <w:numId w:val="1015"/>
        </w:numPr>
      </w:pPr>
      <w:r>
        <w:t xml:space="preserve">Seattle improvement stalls</w:t>
      </w:r>
    </w:p>
    <w:p>
      <w:pPr>
        <w:pStyle w:val="Compact"/>
        <w:numPr>
          <w:ilvl w:val="0"/>
          <w:numId w:val="1015"/>
        </w:numPr>
      </w:pPr>
      <w:r>
        <w:t xml:space="preserve">Expense growth exceeds the planned catch-up</w:t>
      </w:r>
    </w:p>
    <w:p>
      <w:pPr>
        <w:pStyle w:val="Compact"/>
        <w:numPr>
          <w:ilvl w:val="0"/>
          <w:numId w:val="1015"/>
        </w:numPr>
      </w:pPr>
      <w:r>
        <w:t xml:space="preserve">Structured-finance or delinquency issues create another FFO headwind</w:t>
      </w:r>
    </w:p>
    <w:p>
      <w:pPr>
        <w:pStyle w:val="Compact"/>
        <w:numPr>
          <w:ilvl w:val="0"/>
          <w:numId w:val="1015"/>
        </w:numPr>
      </w:pPr>
      <w:r>
        <w:t xml:space="preserve">Guidance is reduced or the outlook becomes notably more cautious</w:t>
      </w:r>
    </w:p>
    <w:bookmarkEnd w:id="22"/>
    <w:bookmarkEnd w:id="23"/>
    <w:bookmarkStart w:id="2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ESS should report a solid quarter, but the</w:t>
      </w:r>
      <w:r>
        <w:t xml:space="preserve"> </w:t>
      </w:r>
      <w:r>
        <w:rPr>
          <w:b/>
          <w:bCs/>
        </w:rPr>
        <w:t xml:space="preserve">forward leasing update and guidance decision will drive the stock reaction</w:t>
      </w:r>
      <w:r>
        <w:t xml:space="preserve">.</w:t>
      </w:r>
    </w:p>
    <w:p>
      <w:pPr>
        <w:pStyle w:val="BodyText"/>
      </w:pPr>
      <w:r>
        <w:t xml:space="preserve">The fundamental setup remains attractive: Northern California is strong, supply is unusually limited, Seattle should improve as deliveries decline, and Essex has a high-quality balance sheet. The principal operating risk is that Los Angeles remains weak while delayed expenses return faster than rent growth accelerates.</w:t>
      </w:r>
    </w:p>
    <w:p>
      <w:pPr>
        <w:pStyle w:val="BodyText"/>
      </w:pPr>
      <w:r>
        <w:t xml:space="preserve">At roughly 18.5x midpoint FFO after a sizable rally, an ordinary in-line report may not be enough. The best outcome would combine</w:t>
      </w:r>
      <w:r>
        <w:t xml:space="preserve"> </w:t>
      </w:r>
      <w:r>
        <w:rPr>
          <w:b/>
          <w:bCs/>
        </w:rPr>
        <w:t xml:space="preserve">above-guidance Core FFO, sustained peak-season blended rent growth and at least a modest increase in the full-year operating outlook</w:t>
      </w:r>
      <w:r>
        <w:t xml:space="preserve">.</w:t>
      </w:r>
    </w:p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2026-07-29T01:59:39Z</dcterms:created>
  <dcterms:modified xsi:type="dcterms:W3CDTF">2026-07-29T01:59:39Z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