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s-earnings-predictions--2026-07-29"/>
    <w:p>
      <w:pPr>
        <w:pStyle w:val="Heading1"/>
      </w:pPr>
      <w:r>
        <w:t xml:space="preserve">ESS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diluted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~$4.04 vs. cons $4.08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~3.8% vs. cons 3.1%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~4.6% vs. cons 3.4%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per diluted 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~$15.94 vs. cons $16.06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~2.8% vs. cons 2.7%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~2.6% vs. cons 2.4%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-0.7% (FADE)</w:t>
            </w:r>
          </w:p>
        </w:tc>
        <w:tc>
          <w:tcPr/>
          <w:p>
            <w:pPr>
              <w:pStyle w:val="Compact"/>
            </w:pPr>
            <w:r>
              <w:t xml:space="preserve">Day-1 residual ~+1.8% versus a beta-adjusted S&amp;P 500 move of ~0.0%, driven by better ~3.8% same-property revenue growth versus ~3.1% consensus and ~4.6% NOI growth versus ~3.4%. The 5-day residual fades to ~-0.7% versus ~0.0% beta-adjusted market impact because FY2026 Core FFO guidance remains ~</w:t>
            </w:r>
            <m:oMath>
              <m:r>
                <m:t>15.94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16.06 consensus, leaving second-half and out-period FFO math below the Street despite an operating-guide improvement.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2026-07-29T01:58:41Z</dcterms:created>
  <dcterms:modified xsi:type="dcterms:W3CDTF">2026-07-29T01:58:41Z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